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A" w:rsidRPr="00867858" w:rsidRDefault="0069483A" w:rsidP="006A0C5A">
      <w:pPr>
        <w:jc w:val="right"/>
      </w:pPr>
    </w:p>
    <w:p w:rsidR="00B4784E" w:rsidRDefault="00B4784E" w:rsidP="00935BF0">
      <w:pPr>
        <w:ind w:left="5954"/>
      </w:pPr>
      <w:r>
        <w:t>ЗАТВЕРДЖЕНО</w:t>
      </w:r>
    </w:p>
    <w:p w:rsidR="0069483A" w:rsidRPr="00867858" w:rsidRDefault="0069483A" w:rsidP="00B4784E">
      <w:pPr>
        <w:ind w:left="5954"/>
      </w:pPr>
      <w:r w:rsidRPr="00867858">
        <w:t>наказ</w:t>
      </w:r>
      <w:r w:rsidR="00B4784E">
        <w:t>ом</w:t>
      </w:r>
      <w:r w:rsidRPr="00867858">
        <w:t xml:space="preserve"> </w:t>
      </w:r>
      <w:proofErr w:type="spellStart"/>
      <w:r w:rsidR="00303B28" w:rsidRPr="00867858">
        <w:t>в.о</w:t>
      </w:r>
      <w:proofErr w:type="spellEnd"/>
      <w:r w:rsidR="00303B28" w:rsidRPr="00867858">
        <w:t xml:space="preserve">. </w:t>
      </w:r>
      <w:r w:rsidRPr="00867858">
        <w:t>керівника апарату</w:t>
      </w:r>
    </w:p>
    <w:p w:rsidR="0069483A" w:rsidRPr="00867858" w:rsidRDefault="0069483A" w:rsidP="00B4784E">
      <w:pPr>
        <w:ind w:left="5954"/>
      </w:pPr>
      <w:r w:rsidRPr="00867858">
        <w:t>Одеського апеляційного</w:t>
      </w:r>
    </w:p>
    <w:p w:rsidR="00B4784E" w:rsidRDefault="0069483A" w:rsidP="00B4784E">
      <w:pPr>
        <w:ind w:left="5954"/>
      </w:pPr>
      <w:r w:rsidRPr="00867858">
        <w:t>господарського суду</w:t>
      </w:r>
    </w:p>
    <w:p w:rsidR="0069483A" w:rsidRPr="00867858" w:rsidRDefault="009C5E48" w:rsidP="00B4784E">
      <w:pPr>
        <w:ind w:left="5954"/>
      </w:pPr>
      <w:r w:rsidRPr="00ED12F4">
        <w:t xml:space="preserve">від </w:t>
      </w:r>
      <w:r w:rsidR="00BF3CE0" w:rsidRPr="00ED12F4">
        <w:t>08.08.2018</w:t>
      </w:r>
      <w:r w:rsidR="000F4470" w:rsidRPr="00ED12F4">
        <w:t xml:space="preserve"> </w:t>
      </w:r>
      <w:r w:rsidR="00441926" w:rsidRPr="00ED12F4">
        <w:t xml:space="preserve">№ </w:t>
      </w:r>
      <w:r w:rsidR="00BF3CE0" w:rsidRPr="00ED12F4">
        <w:t>300</w:t>
      </w:r>
      <w:r w:rsidR="0069483A" w:rsidRPr="00ED12F4">
        <w:t>-к</w:t>
      </w:r>
      <w:bookmarkStart w:id="0" w:name="_GoBack"/>
      <w:bookmarkEnd w:id="0"/>
    </w:p>
    <w:p w:rsidR="001D485E" w:rsidRPr="00867858" w:rsidRDefault="001D485E" w:rsidP="00270195">
      <w:pPr>
        <w:pStyle w:val="rvps7"/>
        <w:spacing w:before="0" w:beforeAutospacing="0" w:after="0" w:afterAutospacing="0"/>
        <w:jc w:val="center"/>
        <w:rPr>
          <w:rStyle w:val="rvts15"/>
        </w:rPr>
      </w:pPr>
    </w:p>
    <w:p w:rsidR="0069483A" w:rsidRPr="00867858" w:rsidRDefault="0069483A" w:rsidP="00212510">
      <w:pPr>
        <w:pStyle w:val="rvps7"/>
        <w:spacing w:before="0" w:beforeAutospacing="0" w:after="0" w:afterAutospacing="0"/>
        <w:jc w:val="center"/>
        <w:rPr>
          <w:rStyle w:val="rvts15"/>
        </w:rPr>
      </w:pPr>
      <w:r w:rsidRPr="00867858">
        <w:rPr>
          <w:rStyle w:val="rvts15"/>
        </w:rPr>
        <w:t>УМОВИ</w:t>
      </w:r>
    </w:p>
    <w:p w:rsidR="00BA3519" w:rsidRPr="00867858" w:rsidRDefault="0069483A" w:rsidP="006D313E">
      <w:pPr>
        <w:pStyle w:val="rvps7"/>
        <w:spacing w:before="0" w:beforeAutospacing="0" w:after="0" w:afterAutospacing="0"/>
        <w:jc w:val="center"/>
        <w:rPr>
          <w:rStyle w:val="rvts15"/>
        </w:rPr>
      </w:pPr>
      <w:r w:rsidRPr="00867858">
        <w:rPr>
          <w:rStyle w:val="rvts15"/>
        </w:rPr>
        <w:t>проведення конкурсу на з</w:t>
      </w:r>
      <w:r w:rsidR="00BA3519" w:rsidRPr="00867858">
        <w:rPr>
          <w:rStyle w:val="rvts15"/>
        </w:rPr>
        <w:t>айняття посади державної служби</w:t>
      </w:r>
      <w:r w:rsidR="002067BE" w:rsidRPr="00867858">
        <w:rPr>
          <w:rStyle w:val="rvts15"/>
        </w:rPr>
        <w:t xml:space="preserve"> категорії «Б</w:t>
      </w:r>
      <w:r w:rsidR="00B66D66" w:rsidRPr="00867858">
        <w:rPr>
          <w:rStyle w:val="rvts15"/>
        </w:rPr>
        <w:t xml:space="preserve">» – </w:t>
      </w:r>
    </w:p>
    <w:p w:rsidR="0069483A" w:rsidRPr="00867858" w:rsidRDefault="00BF3CE0" w:rsidP="006D313E">
      <w:pPr>
        <w:pStyle w:val="rvps7"/>
        <w:spacing w:before="0" w:beforeAutospacing="0" w:after="0" w:afterAutospacing="0"/>
        <w:jc w:val="center"/>
        <w:rPr>
          <w:rStyle w:val="rvts15"/>
        </w:rPr>
      </w:pPr>
      <w:r w:rsidRPr="00BF3CE0">
        <w:rPr>
          <w:rStyle w:val="rvts15"/>
        </w:rPr>
        <w:t>начальника відділу аналітичного забезпечення та узагальнення судової практики</w:t>
      </w:r>
    </w:p>
    <w:p w:rsidR="0069483A" w:rsidRDefault="0069483A" w:rsidP="00095D31">
      <w:pPr>
        <w:pStyle w:val="rvps7"/>
        <w:spacing w:before="0" w:beforeAutospacing="0" w:after="0" w:afterAutospacing="0"/>
        <w:jc w:val="center"/>
        <w:rPr>
          <w:rStyle w:val="rvts15"/>
        </w:rPr>
      </w:pPr>
      <w:r w:rsidRPr="00867858">
        <w:rPr>
          <w:rStyle w:val="rvts15"/>
        </w:rPr>
        <w:t>Одеського апеляційного господарського суду</w:t>
      </w:r>
    </w:p>
    <w:p w:rsidR="00924F06" w:rsidRDefault="00924F06" w:rsidP="00095D31">
      <w:pPr>
        <w:pStyle w:val="rvps7"/>
        <w:spacing w:before="0" w:beforeAutospacing="0" w:after="0" w:afterAutospacing="0"/>
        <w:jc w:val="center"/>
        <w:rPr>
          <w:rStyle w:val="rvts15"/>
        </w:rPr>
      </w:pPr>
      <w:r>
        <w:rPr>
          <w:rStyle w:val="rvts15"/>
        </w:rPr>
        <w:t>м. Одеса, проспект Шевченка,29</w:t>
      </w:r>
    </w:p>
    <w:p w:rsidR="001D485E" w:rsidRPr="00867858" w:rsidRDefault="001D485E" w:rsidP="00095D31">
      <w:pPr>
        <w:pStyle w:val="rvps7"/>
        <w:spacing w:before="0" w:beforeAutospacing="0" w:after="0" w:afterAutospacing="0"/>
        <w:jc w:val="center"/>
        <w:rPr>
          <w:rStyle w:val="rvts15"/>
        </w:rPr>
      </w:pPr>
    </w:p>
    <w:tbl>
      <w:tblPr>
        <w:tblW w:w="5211"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843"/>
        <w:gridCol w:w="4892"/>
      </w:tblGrid>
      <w:tr w:rsidR="0069483A" w:rsidRPr="00867858" w:rsidTr="0033377A">
        <w:tc>
          <w:tcPr>
            <w:tcW w:w="10075" w:type="dxa"/>
            <w:gridSpan w:val="4"/>
            <w:vAlign w:val="center"/>
          </w:tcPr>
          <w:p w:rsidR="0069483A" w:rsidRPr="00867858" w:rsidRDefault="0069483A" w:rsidP="000514FA">
            <w:pPr>
              <w:pStyle w:val="rvps12"/>
              <w:jc w:val="center"/>
              <w:rPr>
                <w:b/>
              </w:rPr>
            </w:pPr>
            <w:bookmarkStart w:id="1" w:name="n196"/>
            <w:bookmarkEnd w:id="1"/>
            <w:r w:rsidRPr="00867858">
              <w:rPr>
                <w:b/>
              </w:rPr>
              <w:t>Загальні умови</w:t>
            </w:r>
          </w:p>
        </w:tc>
      </w:tr>
      <w:tr w:rsidR="0069483A" w:rsidRPr="00867858" w:rsidTr="0033377A">
        <w:tc>
          <w:tcPr>
            <w:tcW w:w="5183" w:type="dxa"/>
            <w:gridSpan w:val="3"/>
          </w:tcPr>
          <w:p w:rsidR="0069483A" w:rsidRPr="00867858" w:rsidRDefault="0069483A" w:rsidP="000514FA">
            <w:pPr>
              <w:pStyle w:val="rvps14"/>
            </w:pPr>
            <w:r w:rsidRPr="00867858">
              <w:t>Посадові обов’язки</w:t>
            </w:r>
          </w:p>
        </w:tc>
        <w:tc>
          <w:tcPr>
            <w:tcW w:w="4892" w:type="dxa"/>
          </w:tcPr>
          <w:p w:rsidR="00BF3CE0" w:rsidRPr="00BF3CE0" w:rsidRDefault="00BF3CE0" w:rsidP="00BF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3CE0">
              <w:t xml:space="preserve">здійснення безпосереднього керівництва роботою відділу, спрямовування його діяльності, розподілення завдань та обов’язків між працівниками відділу; організація і забезпечення виконання працівниками відділу покладених на них завдань та обов’язків, контроль їх роботи; здійснення організації, проведення та координації заходів щодо вивчення, аналізу та узагальненню судової практики, розгляду справ місцевими господарськими судами Одеського апеляційного округу, їх перегляду в апеляційному та касаційному порядку; здійснення проведення аналітичних оглядів судової практики з розгляду судом справ за окремими категоріями спорів відповідно до плану роботи суду, доручень голови суду; складання підсумкових документів за результатами вивчення і узагальнення матеріалів судової практики та статистичних даних про діяльність апеляційного та місцевих господарських судів; проведення обліку, систематизації та аналізу судових рішень Одеського апеляційного господарського суду переглянутих в касаційному порядку по певним категоріям справ та по кожному судді Одеського апеляційного господарського суду окремо; виявлення та аналіз проблемних питань, що виникають при застосуванні законодавства та вирішення актуальних (проблемних) питань практики застосування матеріального та процесуального права; здійснення організації роботи по виявленню неоднакової судової практики та підготовка відповідних довідок; забезпечення здійснення ознайомлення суддів зі змінами законодавства, </w:t>
            </w:r>
          </w:p>
          <w:p w:rsidR="00BF3CE0" w:rsidRPr="00BF3CE0" w:rsidRDefault="00BF3CE0" w:rsidP="00BF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3CE0">
              <w:t>забезпечення систематизації та моніторинг судових рішень в</w:t>
            </w:r>
            <w:r w:rsidR="00F07B6C">
              <w:t>ищих судових інстанцій</w:t>
            </w:r>
            <w:r w:rsidRPr="00BF3CE0">
              <w:t>;</w:t>
            </w:r>
          </w:p>
          <w:p w:rsidR="00BF3CE0" w:rsidRPr="00BF3CE0" w:rsidRDefault="00BF3CE0" w:rsidP="00BF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3CE0">
              <w:t>забезпечення організації стажування суддів місцевих господарських судів та підготовка відповідних методичних матеріалів;</w:t>
            </w:r>
          </w:p>
          <w:p w:rsidR="0069483A" w:rsidRPr="00867858" w:rsidRDefault="00BF3CE0" w:rsidP="00BF3CE0">
            <w:pPr>
              <w:pStyle w:val="a4"/>
              <w:tabs>
                <w:tab w:val="left" w:pos="1276"/>
              </w:tabs>
              <w:spacing w:before="0" w:beforeAutospacing="0" w:after="0" w:afterAutospacing="0" w:line="264" w:lineRule="auto"/>
              <w:rPr>
                <w:lang w:val="uk-UA"/>
              </w:rPr>
            </w:pPr>
            <w:r w:rsidRPr="00BF3CE0">
              <w:rPr>
                <w:rFonts w:eastAsia="Times New Roman"/>
                <w:lang w:val="uk-UA" w:eastAsia="uk-UA"/>
              </w:rPr>
              <w:t xml:space="preserve">контроль здійснення заходів щодо </w:t>
            </w:r>
            <w:r w:rsidRPr="00BF3CE0">
              <w:rPr>
                <w:rFonts w:eastAsia="Times New Roman"/>
                <w:lang w:val="uk-UA" w:eastAsia="uk-UA"/>
              </w:rPr>
              <w:lastRenderedPageBreak/>
              <w:t>накопичення та зберігання бібліотечного фонду суду; забезпечення організації ведення діловодства у відділі згідно з визначеною номенклатурою справ відповідно до встановленого в суді порядку; виконання інших функціональних обов'язків відповідно до посадової інструкції</w:t>
            </w:r>
          </w:p>
        </w:tc>
      </w:tr>
      <w:tr w:rsidR="0069483A" w:rsidRPr="00867858" w:rsidTr="0033377A">
        <w:tc>
          <w:tcPr>
            <w:tcW w:w="5183" w:type="dxa"/>
            <w:gridSpan w:val="3"/>
            <w:vAlign w:val="center"/>
          </w:tcPr>
          <w:p w:rsidR="0069483A" w:rsidRPr="00867858" w:rsidRDefault="0069483A" w:rsidP="000514FA">
            <w:pPr>
              <w:pStyle w:val="rvps14"/>
            </w:pPr>
            <w:r w:rsidRPr="00867858">
              <w:lastRenderedPageBreak/>
              <w:t>Умови оплати праці</w:t>
            </w:r>
          </w:p>
        </w:tc>
        <w:tc>
          <w:tcPr>
            <w:tcW w:w="4892" w:type="dxa"/>
          </w:tcPr>
          <w:p w:rsidR="0069483A" w:rsidRPr="00867858" w:rsidRDefault="000F4470" w:rsidP="00303B28">
            <w:pPr>
              <w:pStyle w:val="rvps14"/>
              <w:spacing w:before="0" w:beforeAutospacing="0" w:after="0" w:afterAutospacing="0"/>
            </w:pPr>
            <w:r w:rsidRPr="00867858">
              <w:t xml:space="preserve">посадовий оклад – </w:t>
            </w:r>
            <w:r w:rsidR="002067BE" w:rsidRPr="00867858">
              <w:t>7500</w:t>
            </w:r>
            <w:r w:rsidR="0069483A" w:rsidRPr="00867858">
              <w:t xml:space="preserve"> грн., надбавки та доплати до посадового окладу відповідно до законодавства</w:t>
            </w:r>
          </w:p>
        </w:tc>
      </w:tr>
      <w:tr w:rsidR="0069483A" w:rsidRPr="00867858" w:rsidTr="0033377A">
        <w:tc>
          <w:tcPr>
            <w:tcW w:w="5183" w:type="dxa"/>
            <w:gridSpan w:val="3"/>
            <w:vAlign w:val="center"/>
          </w:tcPr>
          <w:p w:rsidR="0069483A" w:rsidRPr="00867858" w:rsidRDefault="0069483A" w:rsidP="000514FA">
            <w:pPr>
              <w:pStyle w:val="rvps14"/>
            </w:pPr>
            <w:r w:rsidRPr="00867858">
              <w:t>Інформація про строковість чи безстроковість призначення на посаду</w:t>
            </w:r>
          </w:p>
        </w:tc>
        <w:tc>
          <w:tcPr>
            <w:tcW w:w="4892" w:type="dxa"/>
          </w:tcPr>
          <w:p w:rsidR="0069483A" w:rsidRPr="00867858" w:rsidRDefault="007A03DA" w:rsidP="00B66D66">
            <w:pPr>
              <w:pStyle w:val="rvps14"/>
              <w:spacing w:before="0" w:beforeAutospacing="0" w:after="0" w:afterAutospacing="0"/>
            </w:pPr>
            <w:r w:rsidRPr="00867858">
              <w:t>безстрокове призначення на посаду</w:t>
            </w:r>
          </w:p>
        </w:tc>
      </w:tr>
      <w:tr w:rsidR="0069483A" w:rsidRPr="00867858" w:rsidTr="0033377A">
        <w:tc>
          <w:tcPr>
            <w:tcW w:w="5183" w:type="dxa"/>
            <w:gridSpan w:val="3"/>
          </w:tcPr>
          <w:p w:rsidR="0069483A" w:rsidRPr="00867858" w:rsidRDefault="0069483A" w:rsidP="000514FA">
            <w:pPr>
              <w:pStyle w:val="rvps14"/>
            </w:pPr>
            <w:r w:rsidRPr="00867858">
              <w:t>Перелік документів, необхідних для участі в конкурсі, та строк їх подання</w:t>
            </w:r>
          </w:p>
        </w:tc>
        <w:tc>
          <w:tcPr>
            <w:tcW w:w="4892" w:type="dxa"/>
          </w:tcPr>
          <w:p w:rsidR="0069483A" w:rsidRPr="00867858" w:rsidRDefault="0069483A" w:rsidP="00961C48">
            <w:pPr>
              <w:pStyle w:val="rvps2"/>
              <w:spacing w:before="0" w:beforeAutospacing="0" w:after="0" w:afterAutospacing="0"/>
            </w:pPr>
            <w:r w:rsidRPr="00867858">
              <w:t>1. Копія паспорта громадянина України.</w:t>
            </w:r>
          </w:p>
          <w:p w:rsidR="0069483A" w:rsidRPr="00867858" w:rsidRDefault="0069483A" w:rsidP="00961C48">
            <w:pPr>
              <w:pStyle w:val="rvps2"/>
              <w:spacing w:before="0" w:beforeAutospacing="0" w:after="0" w:afterAutospacing="0"/>
            </w:pPr>
            <w:r w:rsidRPr="00867858">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867858" w:rsidRDefault="0069483A" w:rsidP="00961C48">
            <w:pPr>
              <w:pStyle w:val="rvps2"/>
              <w:spacing w:before="0" w:beforeAutospacing="0" w:after="0" w:afterAutospacing="0"/>
            </w:pPr>
            <w:r w:rsidRPr="00867858">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867858" w:rsidRDefault="0069483A" w:rsidP="00961C48">
            <w:pPr>
              <w:pStyle w:val="rvps2"/>
              <w:spacing w:before="0" w:beforeAutospacing="0" w:after="0" w:afterAutospacing="0"/>
            </w:pPr>
            <w:r w:rsidRPr="00867858">
              <w:t>4. Копі</w:t>
            </w:r>
            <w:r w:rsidR="008D47DF" w:rsidRPr="00867858">
              <w:t>я</w:t>
            </w:r>
            <w:r w:rsidRPr="00867858">
              <w:t xml:space="preserve"> документа (документів) про освіту.</w:t>
            </w:r>
          </w:p>
          <w:p w:rsidR="00441926" w:rsidRPr="00867858" w:rsidRDefault="00441926" w:rsidP="00441926">
            <w:pPr>
              <w:pStyle w:val="rvps2"/>
              <w:spacing w:before="0" w:beforeAutospacing="0" w:after="0" w:afterAutospacing="0"/>
            </w:pPr>
            <w:r w:rsidRPr="00867858">
              <w:t xml:space="preserve">5. </w:t>
            </w:r>
            <w:r w:rsidR="007A03DA" w:rsidRPr="00867858">
              <w:t>Оригінал п</w:t>
            </w:r>
            <w:r w:rsidRPr="00867858">
              <w:t>освідчення атестації щодо вільного володіння державною мовою.</w:t>
            </w:r>
          </w:p>
          <w:p w:rsidR="00441926" w:rsidRPr="00867858" w:rsidRDefault="00441926" w:rsidP="00441926">
            <w:pPr>
              <w:pStyle w:val="rvps2"/>
              <w:spacing w:before="0" w:beforeAutospacing="0" w:after="0" w:afterAutospacing="0"/>
            </w:pPr>
            <w:r w:rsidRPr="00867858">
              <w:t>6. Заповнена особова картка встановленого зразка.</w:t>
            </w:r>
          </w:p>
          <w:p w:rsidR="00441926" w:rsidRPr="00867858" w:rsidRDefault="00441926" w:rsidP="00441926">
            <w:pPr>
              <w:pStyle w:val="rvps2"/>
              <w:spacing w:before="0" w:beforeAutospacing="0" w:after="0" w:afterAutospacing="0"/>
            </w:pPr>
            <w:r w:rsidRPr="00867858">
              <w:t>7. Декларація особи, уповноваженої на виконання функцій держави або місцевого самоврядування, за 201</w:t>
            </w:r>
            <w:r w:rsidR="00303B28" w:rsidRPr="00867858">
              <w:t>7</w:t>
            </w:r>
            <w:r w:rsidRPr="00867858">
              <w:t xml:space="preserve"> рік (подається в порядку, передбаченому Законом України «Про запобігання корупції»).</w:t>
            </w:r>
          </w:p>
          <w:p w:rsidR="00441926" w:rsidRPr="00867858" w:rsidRDefault="00B532DC" w:rsidP="00441926">
            <w:pPr>
              <w:pStyle w:val="rvps2"/>
              <w:spacing w:before="0" w:beforeAutospacing="0" w:after="0" w:afterAutospacing="0"/>
            </w:pPr>
            <w:r>
              <w:t>Строк подання документів: 23</w:t>
            </w:r>
            <w:r w:rsidR="00CF25DB">
              <w:t xml:space="preserve"> календарни</w:t>
            </w:r>
            <w:r w:rsidR="00412424">
              <w:t>х</w:t>
            </w:r>
            <w:r w:rsidR="00CF25DB">
              <w:t xml:space="preserve"> д</w:t>
            </w:r>
            <w:r w:rsidR="00B77FD8">
              <w:t>ні</w:t>
            </w:r>
            <w:r w:rsidR="00441926" w:rsidRPr="00867858">
              <w:t xml:space="preserve"> з дня оприлюднення інформації про проведення конкурсу на офіційному сайті Національного агентства з питань державної служби.</w:t>
            </w:r>
          </w:p>
          <w:p w:rsidR="0069483A" w:rsidRPr="00867858" w:rsidRDefault="00441926" w:rsidP="00B532DC">
            <w:pPr>
              <w:pStyle w:val="rvps2"/>
              <w:spacing w:before="0" w:beforeAutospacing="0" w:after="0" w:afterAutospacing="0"/>
            </w:pPr>
            <w:r w:rsidRPr="00867858">
              <w:t xml:space="preserve">Останній день прийому документів – </w:t>
            </w:r>
            <w:r w:rsidRPr="00867858">
              <w:br/>
            </w:r>
            <w:r w:rsidR="00B532DC">
              <w:t>30</w:t>
            </w:r>
            <w:r w:rsidR="00B66D66" w:rsidRPr="00867858">
              <w:t xml:space="preserve"> </w:t>
            </w:r>
            <w:r w:rsidR="00B532DC">
              <w:t>серпня</w:t>
            </w:r>
            <w:r w:rsidRPr="00867858">
              <w:t xml:space="preserve"> 201</w:t>
            </w:r>
            <w:r w:rsidR="00303B28" w:rsidRPr="00867858">
              <w:t>8</w:t>
            </w:r>
            <w:r w:rsidRPr="00867858">
              <w:t xml:space="preserve"> року до </w:t>
            </w:r>
            <w:r w:rsidR="002B6DD2">
              <w:t>18:00</w:t>
            </w:r>
          </w:p>
        </w:tc>
      </w:tr>
      <w:tr w:rsidR="0069483A" w:rsidRPr="00867858" w:rsidTr="0033377A">
        <w:tc>
          <w:tcPr>
            <w:tcW w:w="5183" w:type="dxa"/>
            <w:gridSpan w:val="3"/>
          </w:tcPr>
          <w:p w:rsidR="0069483A" w:rsidRPr="00867858" w:rsidRDefault="00512FED" w:rsidP="005633D0">
            <w:pPr>
              <w:pStyle w:val="rvps14"/>
            </w:pPr>
            <w:r w:rsidRPr="00867858">
              <w:t>Місце, час та дата початку проведення конкурсу</w:t>
            </w:r>
          </w:p>
        </w:tc>
        <w:tc>
          <w:tcPr>
            <w:tcW w:w="4892" w:type="dxa"/>
          </w:tcPr>
          <w:p w:rsidR="00AC3605" w:rsidRDefault="00AC3605" w:rsidP="00961C48">
            <w:pPr>
              <w:pStyle w:val="rvps7"/>
              <w:spacing w:before="0" w:beforeAutospacing="0" w:after="0" w:afterAutospacing="0"/>
            </w:pPr>
            <w:r>
              <w:rPr>
                <w:rStyle w:val="rvts15"/>
              </w:rPr>
              <w:t>м. Одеса, проспект Шевченка, 29,</w:t>
            </w:r>
          </w:p>
          <w:p w:rsidR="0069483A" w:rsidRPr="00867858" w:rsidRDefault="00B532DC" w:rsidP="00B532DC">
            <w:pPr>
              <w:pStyle w:val="rvps7"/>
              <w:spacing w:before="0" w:beforeAutospacing="0" w:after="0" w:afterAutospacing="0"/>
            </w:pPr>
            <w:r>
              <w:t>06</w:t>
            </w:r>
            <w:r w:rsidR="00B66D66" w:rsidRPr="00867858">
              <w:t xml:space="preserve"> </w:t>
            </w:r>
            <w:r>
              <w:t>вересня</w:t>
            </w:r>
            <w:r w:rsidR="00B66D66" w:rsidRPr="00867858">
              <w:t xml:space="preserve"> </w:t>
            </w:r>
            <w:r w:rsidR="00ED4C45" w:rsidRPr="00867858">
              <w:t>201</w:t>
            </w:r>
            <w:r w:rsidR="00303B28" w:rsidRPr="00867858">
              <w:t>8</w:t>
            </w:r>
            <w:r w:rsidR="00ED4C45" w:rsidRPr="00867858">
              <w:t xml:space="preserve"> року о</w:t>
            </w:r>
            <w:r w:rsidR="00480628" w:rsidRPr="00867858">
              <w:t>б</w:t>
            </w:r>
            <w:r w:rsidR="00ED4C45" w:rsidRPr="00867858">
              <w:t xml:space="preserve"> 1</w:t>
            </w:r>
            <w:r w:rsidR="00303B28" w:rsidRPr="00867858">
              <w:t>1</w:t>
            </w:r>
            <w:r w:rsidR="0069483A" w:rsidRPr="00867858">
              <w:t>:</w:t>
            </w:r>
            <w:r w:rsidR="00441926" w:rsidRPr="00867858">
              <w:t>0</w:t>
            </w:r>
            <w:r w:rsidR="00AC3605">
              <w:t>0</w:t>
            </w:r>
          </w:p>
        </w:tc>
      </w:tr>
      <w:tr w:rsidR="0069483A" w:rsidRPr="00867858" w:rsidTr="0033377A">
        <w:tc>
          <w:tcPr>
            <w:tcW w:w="5183" w:type="dxa"/>
            <w:gridSpan w:val="3"/>
            <w:vAlign w:val="center"/>
          </w:tcPr>
          <w:p w:rsidR="0069483A" w:rsidRPr="00867858" w:rsidRDefault="0069483A" w:rsidP="000514FA">
            <w:pPr>
              <w:pStyle w:val="rvps14"/>
            </w:pPr>
            <w:r w:rsidRPr="00867858">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Pr>
          <w:p w:rsidR="0069483A" w:rsidRPr="00867858" w:rsidRDefault="0069483A" w:rsidP="00961C48">
            <w:pPr>
              <w:pStyle w:val="rvps14"/>
              <w:spacing w:before="0" w:beforeAutospacing="0" w:after="0" w:afterAutospacing="0"/>
            </w:pPr>
            <w:proofErr w:type="spellStart"/>
            <w:r w:rsidRPr="00867858">
              <w:t>Толокнова</w:t>
            </w:r>
            <w:proofErr w:type="spellEnd"/>
            <w:r w:rsidRPr="00867858">
              <w:t xml:space="preserve"> Олена Петрівна т. (048)301-409</w:t>
            </w:r>
          </w:p>
          <w:p w:rsidR="0069483A" w:rsidRPr="00867858" w:rsidRDefault="0069483A" w:rsidP="00961C48">
            <w:r w:rsidRPr="00867858">
              <w:t>orgkadr@oda.arbitr.gov.ua</w:t>
            </w:r>
          </w:p>
          <w:p w:rsidR="0069483A" w:rsidRPr="00867858" w:rsidRDefault="0069483A" w:rsidP="00961C48">
            <w:pPr>
              <w:pStyle w:val="rvps14"/>
              <w:spacing w:before="0" w:beforeAutospacing="0" w:after="0" w:afterAutospacing="0"/>
            </w:pPr>
          </w:p>
        </w:tc>
      </w:tr>
      <w:tr w:rsidR="00167A20" w:rsidRPr="00867858" w:rsidTr="0033377A">
        <w:trPr>
          <w:trHeight w:val="312"/>
        </w:trPr>
        <w:tc>
          <w:tcPr>
            <w:tcW w:w="10075" w:type="dxa"/>
            <w:gridSpan w:val="4"/>
          </w:tcPr>
          <w:p w:rsidR="00167A20" w:rsidRPr="00867858" w:rsidRDefault="00167A20" w:rsidP="001D0FA9">
            <w:pPr>
              <w:pStyle w:val="rvps12"/>
              <w:jc w:val="center"/>
              <w:rPr>
                <w:b/>
              </w:rPr>
            </w:pPr>
            <w:r w:rsidRPr="00867858">
              <w:rPr>
                <w:b/>
              </w:rPr>
              <w:t>Кваліфікаційні вимоги</w:t>
            </w:r>
          </w:p>
        </w:tc>
      </w:tr>
      <w:tr w:rsidR="00167A20" w:rsidRPr="00867858" w:rsidTr="0033377A">
        <w:trPr>
          <w:trHeight w:val="329"/>
        </w:trPr>
        <w:tc>
          <w:tcPr>
            <w:tcW w:w="798" w:type="dxa"/>
          </w:tcPr>
          <w:p w:rsidR="00167A20" w:rsidRPr="00867858" w:rsidRDefault="00167A20" w:rsidP="001D0FA9">
            <w:pPr>
              <w:pStyle w:val="rvps12"/>
              <w:spacing w:before="0" w:beforeAutospacing="0" w:after="0" w:afterAutospacing="0"/>
              <w:jc w:val="center"/>
            </w:pPr>
            <w:r w:rsidRPr="00867858">
              <w:t>1</w:t>
            </w:r>
          </w:p>
        </w:tc>
        <w:tc>
          <w:tcPr>
            <w:tcW w:w="2542" w:type="dxa"/>
          </w:tcPr>
          <w:p w:rsidR="00167A20" w:rsidRPr="00867858" w:rsidRDefault="00167A20" w:rsidP="001D0FA9">
            <w:pPr>
              <w:pStyle w:val="rvps12"/>
              <w:spacing w:before="0" w:beforeAutospacing="0" w:after="0" w:afterAutospacing="0"/>
              <w:rPr>
                <w:b/>
              </w:rPr>
            </w:pPr>
            <w:r w:rsidRPr="00867858">
              <w:rPr>
                <w:lang w:eastAsia="ru-RU"/>
              </w:rPr>
              <w:t>Освіта</w:t>
            </w:r>
          </w:p>
        </w:tc>
        <w:tc>
          <w:tcPr>
            <w:tcW w:w="6735" w:type="dxa"/>
            <w:gridSpan w:val="2"/>
          </w:tcPr>
          <w:p w:rsidR="00167A20" w:rsidRPr="00867858" w:rsidRDefault="00D47F84" w:rsidP="00EB7EA3">
            <w:pPr>
              <w:pStyle w:val="rvps12"/>
              <w:spacing w:before="0" w:beforeAutospacing="0" w:after="0" w:afterAutospacing="0"/>
              <w:rPr>
                <w:b/>
              </w:rPr>
            </w:pPr>
            <w:r w:rsidRPr="00D47F84">
              <w:rPr>
                <w:lang w:eastAsia="ru-RU"/>
              </w:rPr>
              <w:t>Вища освіта за ступенем магістра</w:t>
            </w:r>
            <w:r>
              <w:rPr>
                <w:lang w:eastAsia="ru-RU"/>
              </w:rPr>
              <w:t xml:space="preserve"> </w:t>
            </w:r>
            <w:r w:rsidRPr="00D47F84">
              <w:rPr>
                <w:lang w:eastAsia="ru-RU"/>
              </w:rPr>
              <w:t>(у разі коли особа, яка претендує на зайняття пос</w:t>
            </w:r>
            <w:r w:rsidR="00EB7EA3">
              <w:rPr>
                <w:lang w:eastAsia="ru-RU"/>
              </w:rPr>
              <w:t>ади державної служби категорії «Б»</w:t>
            </w:r>
            <w:r w:rsidRPr="00D47F84">
              <w:rPr>
                <w:lang w:eastAsia="ru-RU"/>
              </w:rPr>
              <w:t xml:space="preserve">, здобула вищу освіту за освітньо-кваліфікаційним рівнем спеціаліста відповідно до підпункту 2 пункту 2 </w:t>
            </w:r>
            <w:r w:rsidR="00EB7EA3">
              <w:rPr>
                <w:lang w:eastAsia="ru-RU"/>
              </w:rPr>
              <w:t xml:space="preserve">розділу XV </w:t>
            </w:r>
            <w:r w:rsidR="00EB7EA3">
              <w:rPr>
                <w:lang w:eastAsia="ru-RU"/>
              </w:rPr>
              <w:lastRenderedPageBreak/>
              <w:t>«</w:t>
            </w:r>
            <w:r w:rsidRPr="00D47F84">
              <w:rPr>
                <w:lang w:eastAsia="ru-RU"/>
              </w:rPr>
              <w:t>Прикінцеві та перехідні положення</w:t>
            </w:r>
            <w:r w:rsidR="00EB7EA3">
              <w:rPr>
                <w:lang w:eastAsia="ru-RU"/>
              </w:rPr>
              <w:t>» Закону України «</w:t>
            </w:r>
            <w:r w:rsidRPr="00D47F84">
              <w:rPr>
                <w:lang w:eastAsia="ru-RU"/>
              </w:rPr>
              <w:t>Про вищу освіту</w:t>
            </w:r>
            <w:r w:rsidR="00EB7EA3">
              <w:rPr>
                <w:lang w:eastAsia="ru-RU"/>
              </w:rPr>
              <w:t>»</w:t>
            </w:r>
            <w:r w:rsidRPr="00D47F84">
              <w:rPr>
                <w:lang w:eastAsia="ru-RU"/>
              </w:rPr>
              <w:t>, така освіта прирівнюється до вищої освіти ступеня магістра</w:t>
            </w:r>
            <w:r w:rsidR="00923F7F">
              <w:rPr>
                <w:lang w:eastAsia="ru-RU"/>
              </w:rPr>
              <w:t>)</w:t>
            </w:r>
            <w:r>
              <w:rPr>
                <w:lang w:eastAsia="ru-RU"/>
              </w:rPr>
              <w:t xml:space="preserve">, </w:t>
            </w:r>
            <w:r w:rsidR="002067BE" w:rsidRPr="00867858">
              <w:rPr>
                <w:lang w:eastAsia="ru-RU"/>
              </w:rPr>
              <w:t>юридична</w:t>
            </w:r>
          </w:p>
        </w:tc>
      </w:tr>
      <w:tr w:rsidR="00167A20" w:rsidRPr="00867858" w:rsidTr="0033377A">
        <w:trPr>
          <w:trHeight w:val="409"/>
        </w:trPr>
        <w:tc>
          <w:tcPr>
            <w:tcW w:w="798" w:type="dxa"/>
          </w:tcPr>
          <w:p w:rsidR="00167A20" w:rsidRPr="00867858" w:rsidRDefault="00167A20" w:rsidP="001D0FA9">
            <w:pPr>
              <w:pStyle w:val="Style1"/>
              <w:rPr>
                <w:lang w:val="uk-UA"/>
              </w:rPr>
            </w:pPr>
            <w:r w:rsidRPr="00867858">
              <w:rPr>
                <w:lang w:val="uk-UA"/>
              </w:rPr>
              <w:lastRenderedPageBreak/>
              <w:t>2</w:t>
            </w:r>
          </w:p>
        </w:tc>
        <w:tc>
          <w:tcPr>
            <w:tcW w:w="2542" w:type="dxa"/>
          </w:tcPr>
          <w:p w:rsidR="00167A20" w:rsidRPr="00867858" w:rsidRDefault="00167A20" w:rsidP="001D0FA9">
            <w:pPr>
              <w:pStyle w:val="Style1"/>
              <w:jc w:val="left"/>
              <w:rPr>
                <w:b/>
                <w:lang w:val="uk-UA"/>
              </w:rPr>
            </w:pPr>
            <w:r w:rsidRPr="00867858">
              <w:rPr>
                <w:lang w:val="uk-UA"/>
              </w:rPr>
              <w:t xml:space="preserve">Досвід роботи </w:t>
            </w:r>
          </w:p>
        </w:tc>
        <w:tc>
          <w:tcPr>
            <w:tcW w:w="6735" w:type="dxa"/>
            <w:gridSpan w:val="2"/>
          </w:tcPr>
          <w:p w:rsidR="00167A20" w:rsidRPr="00867858" w:rsidRDefault="0033377A" w:rsidP="00EC35D2">
            <w:pPr>
              <w:jc w:val="both"/>
            </w:pPr>
            <w:r w:rsidRPr="00867858">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w:t>
            </w:r>
            <w:r w:rsidR="00EC35D2">
              <w:t xml:space="preserve"> власності не менше двох років</w:t>
            </w:r>
          </w:p>
        </w:tc>
      </w:tr>
      <w:tr w:rsidR="00167A20" w:rsidRPr="00867858" w:rsidTr="0033377A">
        <w:trPr>
          <w:trHeight w:val="312"/>
        </w:trPr>
        <w:tc>
          <w:tcPr>
            <w:tcW w:w="798" w:type="dxa"/>
          </w:tcPr>
          <w:p w:rsidR="00167A20" w:rsidRPr="00867858" w:rsidRDefault="00167A20" w:rsidP="001D0FA9">
            <w:pPr>
              <w:pStyle w:val="rvps12"/>
              <w:spacing w:before="0" w:beforeAutospacing="0" w:after="0" w:afterAutospacing="0"/>
              <w:jc w:val="center"/>
            </w:pPr>
            <w:r w:rsidRPr="00867858">
              <w:t>3</w:t>
            </w:r>
          </w:p>
        </w:tc>
        <w:tc>
          <w:tcPr>
            <w:tcW w:w="2542" w:type="dxa"/>
          </w:tcPr>
          <w:p w:rsidR="00167A20" w:rsidRPr="00867858" w:rsidRDefault="00167A20" w:rsidP="001D0FA9">
            <w:pPr>
              <w:pStyle w:val="rvps12"/>
              <w:spacing w:before="0" w:beforeAutospacing="0" w:after="0" w:afterAutospacing="0"/>
              <w:rPr>
                <w:b/>
              </w:rPr>
            </w:pPr>
            <w:r w:rsidRPr="00867858">
              <w:rPr>
                <w:lang w:eastAsia="ru-RU"/>
              </w:rPr>
              <w:t>Володіння державною мовою</w:t>
            </w:r>
          </w:p>
        </w:tc>
        <w:tc>
          <w:tcPr>
            <w:tcW w:w="6735" w:type="dxa"/>
            <w:gridSpan w:val="2"/>
          </w:tcPr>
          <w:p w:rsidR="00167A20" w:rsidRPr="00867858" w:rsidRDefault="00167A20" w:rsidP="001D0FA9">
            <w:pPr>
              <w:pStyle w:val="rvps12"/>
              <w:spacing w:before="0" w:beforeAutospacing="0" w:after="0" w:afterAutospacing="0"/>
              <w:rPr>
                <w:b/>
              </w:rPr>
            </w:pPr>
            <w:r w:rsidRPr="00867858">
              <w:rPr>
                <w:lang w:eastAsia="ru-RU"/>
              </w:rPr>
              <w:t>вільне володіння державною мовою</w:t>
            </w:r>
          </w:p>
        </w:tc>
      </w:tr>
      <w:tr w:rsidR="00167A20" w:rsidRPr="00867858" w:rsidTr="0033377A">
        <w:trPr>
          <w:trHeight w:val="312"/>
        </w:trPr>
        <w:tc>
          <w:tcPr>
            <w:tcW w:w="10075" w:type="dxa"/>
            <w:gridSpan w:val="4"/>
          </w:tcPr>
          <w:p w:rsidR="00167A20" w:rsidRPr="00867858" w:rsidRDefault="000A2375" w:rsidP="001D0FA9">
            <w:pPr>
              <w:pStyle w:val="rvps12"/>
              <w:jc w:val="center"/>
              <w:rPr>
                <w:b/>
              </w:rPr>
            </w:pPr>
            <w:r w:rsidRPr="00867858">
              <w:rPr>
                <w:b/>
                <w:lang w:eastAsia="ru-RU"/>
              </w:rPr>
              <w:t>Вимоги до</w:t>
            </w:r>
            <w:r w:rsidR="00167A20" w:rsidRPr="00867858">
              <w:rPr>
                <w:b/>
                <w:lang w:eastAsia="ru-RU"/>
              </w:rPr>
              <w:t xml:space="preserve"> компетентність</w:t>
            </w:r>
          </w:p>
        </w:tc>
      </w:tr>
      <w:tr w:rsidR="00167A20" w:rsidRPr="00867858" w:rsidTr="0033377A">
        <w:trPr>
          <w:trHeight w:val="185"/>
        </w:trPr>
        <w:tc>
          <w:tcPr>
            <w:tcW w:w="798" w:type="dxa"/>
          </w:tcPr>
          <w:p w:rsidR="00167A20" w:rsidRPr="00867858" w:rsidRDefault="00167A20" w:rsidP="00763C55">
            <w:pPr>
              <w:pStyle w:val="BodyText24"/>
              <w:jc w:val="center"/>
              <w:rPr>
                <w:b/>
                <w:sz w:val="24"/>
                <w:szCs w:val="24"/>
                <w:lang w:val="uk-UA"/>
              </w:rPr>
            </w:pPr>
          </w:p>
        </w:tc>
        <w:tc>
          <w:tcPr>
            <w:tcW w:w="2542" w:type="dxa"/>
          </w:tcPr>
          <w:p w:rsidR="00167A20" w:rsidRPr="00867858" w:rsidRDefault="00763C55" w:rsidP="00763C55">
            <w:pPr>
              <w:pStyle w:val="BodyText24"/>
              <w:jc w:val="center"/>
              <w:rPr>
                <w:b/>
                <w:sz w:val="24"/>
                <w:szCs w:val="24"/>
                <w:lang w:val="uk-UA"/>
              </w:rPr>
            </w:pPr>
            <w:r w:rsidRPr="00867858">
              <w:rPr>
                <w:b/>
                <w:sz w:val="24"/>
                <w:szCs w:val="24"/>
                <w:lang w:val="uk-UA"/>
              </w:rPr>
              <w:t>Вимога</w:t>
            </w:r>
          </w:p>
        </w:tc>
        <w:tc>
          <w:tcPr>
            <w:tcW w:w="6735" w:type="dxa"/>
            <w:gridSpan w:val="2"/>
          </w:tcPr>
          <w:p w:rsidR="00167A20" w:rsidRPr="00867858" w:rsidRDefault="00763C55" w:rsidP="00763C55">
            <w:pPr>
              <w:pStyle w:val="a4"/>
              <w:spacing w:before="0" w:beforeAutospacing="0" w:after="0" w:afterAutospacing="0"/>
              <w:jc w:val="center"/>
              <w:rPr>
                <w:bCs/>
                <w:lang w:val="uk-UA" w:eastAsia="uk-UA"/>
              </w:rPr>
            </w:pPr>
            <w:r w:rsidRPr="00867858">
              <w:rPr>
                <w:rFonts w:eastAsia="Times New Roman"/>
                <w:b/>
                <w:lang w:val="uk-UA" w:eastAsia="uk-UA"/>
              </w:rPr>
              <w:t>Компоненти вимоги</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1</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Лідерство</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ведення ділових переговорів;</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вміння обґрунтовувати власну позицію;</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3) досягнення кінцевих результатів.</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2</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Прийняття ефективних рішень</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вміння вирішувати комплексні завдання;</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ефективно використовувати ресурси;</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3</w:t>
            </w:r>
            <w:r w:rsidR="00F810A2" w:rsidRPr="00867858">
              <w:rPr>
                <w:rFonts w:eastAsia="Times New Roman"/>
                <w:lang w:val="uk-UA" w:eastAsia="uk-UA"/>
              </w:rPr>
              <w:t>) аналіз державної політики та планування заходів з її реалізації;</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вміння працювати з великими масивами інформації;</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5</w:t>
            </w:r>
            <w:r w:rsidR="00F810A2" w:rsidRPr="00867858">
              <w:rPr>
                <w:rFonts w:eastAsia="Times New Roman"/>
                <w:lang w:val="uk-UA" w:eastAsia="uk-UA"/>
              </w:rPr>
              <w:t xml:space="preserve">) вміння працювати при </w:t>
            </w:r>
            <w:proofErr w:type="spellStart"/>
            <w:r w:rsidR="00F810A2" w:rsidRPr="00867858">
              <w:rPr>
                <w:rFonts w:eastAsia="Times New Roman"/>
                <w:lang w:val="uk-UA" w:eastAsia="uk-UA"/>
              </w:rPr>
              <w:t>багатозадачності</w:t>
            </w:r>
            <w:proofErr w:type="spellEnd"/>
            <w:r w:rsidR="00F810A2" w:rsidRPr="00867858">
              <w:rPr>
                <w:rFonts w:eastAsia="Times New Roman"/>
                <w:lang w:val="uk-UA" w:eastAsia="uk-UA"/>
              </w:rPr>
              <w:t>;</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6</w:t>
            </w:r>
            <w:r w:rsidR="00F810A2" w:rsidRPr="00867858">
              <w:rPr>
                <w:rFonts w:eastAsia="Times New Roman"/>
                <w:lang w:val="uk-UA" w:eastAsia="uk-UA"/>
              </w:rPr>
              <w:t>) встановлення цілей, пріоритетів та орієнтирів.</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3</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Управління організацією роботи та персоналом:</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організація і контроль роботи;</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управління проектами;</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3) вміння працювати в команді та керувати командою;</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мотивування;</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5</w:t>
            </w:r>
            <w:r w:rsidR="00F810A2" w:rsidRPr="00867858">
              <w:rPr>
                <w:rFonts w:eastAsia="Times New Roman"/>
                <w:lang w:val="uk-UA" w:eastAsia="uk-UA"/>
              </w:rPr>
              <w:t>) оцінка і розвиток підлеглих;</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6</w:t>
            </w:r>
            <w:r w:rsidR="00F810A2" w:rsidRPr="00867858">
              <w:rPr>
                <w:rFonts w:eastAsia="Times New Roman"/>
                <w:lang w:val="uk-UA" w:eastAsia="uk-UA"/>
              </w:rPr>
              <w:t>) вміння розв'язання конфліктів.</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4</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Досягнення результатів</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чітке бачення результату;</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сфокусовані зусилля для досягнення результату;</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запобігання та ефективне подолання перешкод.</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5</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Концептуальне та інноваційне мислення</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здатність сприймати інформацію та мислити концептуально;</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здатність формувати закінчені (оформлені) пропозиції;</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здатність формувати нові / інноваційні ідеї та підходи.</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6</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Ефективність аналізу та висновків</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здатність ефективно узагальнювати інформацію;</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здатність встановлювати логічні взаємозв'язки;</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здатність робити коректні висновки</w:t>
            </w:r>
            <w:r w:rsidR="007F1FE0" w:rsidRPr="00867858">
              <w:rPr>
                <w:rFonts w:eastAsia="Times New Roman"/>
                <w:lang w:val="uk-UA" w:eastAsia="uk-UA"/>
              </w:rPr>
              <w:t>.</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7</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Впровадження змін</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рішучість та наполегливість;</w:t>
            </w:r>
          </w:p>
          <w:p w:rsidR="007F1FE0" w:rsidRPr="00867858" w:rsidRDefault="007F1FE0" w:rsidP="007F1FE0">
            <w:pPr>
              <w:pStyle w:val="a4"/>
              <w:spacing w:before="0" w:beforeAutospacing="0" w:after="0" w:afterAutospacing="0"/>
              <w:rPr>
                <w:rFonts w:eastAsia="Times New Roman"/>
                <w:lang w:val="uk-UA" w:eastAsia="uk-UA"/>
              </w:rPr>
            </w:pPr>
            <w:r w:rsidRPr="00867858">
              <w:rPr>
                <w:rFonts w:eastAsia="Times New Roman"/>
                <w:lang w:val="uk-UA" w:eastAsia="uk-UA"/>
              </w:rPr>
              <w:t>2</w:t>
            </w:r>
            <w:r w:rsidR="00F810A2" w:rsidRPr="00867858">
              <w:rPr>
                <w:rFonts w:eastAsia="Times New Roman"/>
                <w:lang w:val="uk-UA" w:eastAsia="uk-UA"/>
              </w:rPr>
              <w:t>) реорганізація для спрощення, підвищення прозорості та ефективності;</w:t>
            </w:r>
          </w:p>
          <w:p w:rsidR="007F1FE0" w:rsidRPr="00867858" w:rsidRDefault="007F1FE0" w:rsidP="007F1FE0">
            <w:pPr>
              <w:pStyle w:val="a4"/>
              <w:spacing w:before="0" w:beforeAutospacing="0" w:after="0" w:afterAutospacing="0"/>
              <w:rPr>
                <w:rFonts w:eastAsia="Times New Roman"/>
                <w:lang w:val="uk-UA" w:eastAsia="uk-UA"/>
              </w:rPr>
            </w:pPr>
            <w:r w:rsidRPr="00867858">
              <w:rPr>
                <w:rFonts w:eastAsia="Times New Roman"/>
                <w:lang w:val="uk-UA" w:eastAsia="uk-UA"/>
              </w:rPr>
              <w:t>3</w:t>
            </w:r>
            <w:r w:rsidR="00F810A2" w:rsidRPr="00867858">
              <w:rPr>
                <w:rFonts w:eastAsia="Times New Roman"/>
                <w:lang w:val="uk-UA" w:eastAsia="uk-UA"/>
              </w:rPr>
              <w:t>) гнучкість та адаптивність (до зміни середовища, очікувань тощо);</w:t>
            </w:r>
          </w:p>
          <w:p w:rsidR="00F810A2" w:rsidRPr="00867858" w:rsidRDefault="00E133C2" w:rsidP="007F1FE0">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оцінка ефективності впровадження</w:t>
            </w:r>
            <w:r w:rsidR="007F1FE0" w:rsidRPr="00867858">
              <w:rPr>
                <w:rFonts w:eastAsia="Times New Roman"/>
                <w:lang w:val="uk-UA" w:eastAsia="uk-UA"/>
              </w:rPr>
              <w:t>.</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8</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Стратегічне бачення</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бачення загальної картини;</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концептуальне мислення;</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здатність визначити напрям розвитку;</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4) інноваційне мислення.</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7F1FE0">
            <w:pPr>
              <w:pStyle w:val="BodyText24"/>
              <w:jc w:val="center"/>
              <w:rPr>
                <w:sz w:val="24"/>
                <w:szCs w:val="24"/>
                <w:lang w:val="uk-UA"/>
              </w:rPr>
            </w:pPr>
            <w:r w:rsidRPr="00867858">
              <w:rPr>
                <w:sz w:val="24"/>
                <w:szCs w:val="24"/>
                <w:lang w:val="uk-UA"/>
              </w:rPr>
              <w:t>9</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Комунікація та взаємодія</w:t>
            </w:r>
          </w:p>
        </w:tc>
        <w:tc>
          <w:tcPr>
            <w:tcW w:w="6735" w:type="dxa"/>
            <w:gridSpan w:val="2"/>
            <w:tcBorders>
              <w:top w:val="single" w:sz="4" w:space="0" w:color="auto"/>
              <w:left w:val="single" w:sz="4" w:space="0" w:color="auto"/>
              <w:bottom w:val="single" w:sz="4" w:space="0" w:color="auto"/>
              <w:right w:val="single" w:sz="4" w:space="0" w:color="auto"/>
            </w:tcBorders>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визначення заінтересованих і впливових сторін та розбудова партнерських стосунків;</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здатність ефективно взаємодіяти - дослухатися, сприймати та викладати думку;</w:t>
            </w:r>
          </w:p>
          <w:p w:rsidR="00F810A2" w:rsidRPr="00867858" w:rsidRDefault="007F1FE0" w:rsidP="007F1FE0">
            <w:pPr>
              <w:pStyle w:val="a4"/>
              <w:spacing w:before="0" w:beforeAutospacing="0" w:after="0" w:afterAutospacing="0"/>
              <w:rPr>
                <w:rFonts w:eastAsia="Times New Roman"/>
                <w:lang w:val="uk-UA" w:eastAsia="uk-UA"/>
              </w:rPr>
            </w:pPr>
            <w:r w:rsidRPr="00867858">
              <w:rPr>
                <w:rFonts w:eastAsia="Times New Roman"/>
                <w:lang w:val="uk-UA" w:eastAsia="uk-UA"/>
              </w:rPr>
              <w:t>3</w:t>
            </w:r>
            <w:r w:rsidR="00F810A2" w:rsidRPr="00867858">
              <w:rPr>
                <w:rFonts w:eastAsia="Times New Roman"/>
                <w:lang w:val="uk-UA" w:eastAsia="uk-UA"/>
              </w:rPr>
              <w:t>) здатність переконувати інших за допомогою аргументів та послідовної комунікації.</w:t>
            </w:r>
          </w:p>
        </w:tc>
      </w:tr>
      <w:tr w:rsidR="00F810A2" w:rsidRPr="00867858" w:rsidTr="00F810A2">
        <w:trPr>
          <w:trHeight w:val="185"/>
        </w:trPr>
        <w:tc>
          <w:tcPr>
            <w:tcW w:w="798" w:type="dxa"/>
            <w:tcBorders>
              <w:top w:val="single" w:sz="4" w:space="0" w:color="auto"/>
              <w:left w:val="single" w:sz="4" w:space="0" w:color="auto"/>
              <w:bottom w:val="single" w:sz="4" w:space="0" w:color="auto"/>
              <w:right w:val="single" w:sz="4" w:space="0" w:color="auto"/>
            </w:tcBorders>
          </w:tcPr>
          <w:p w:rsidR="00F810A2" w:rsidRPr="00867858" w:rsidRDefault="00F810A2" w:rsidP="004C5086">
            <w:pPr>
              <w:pStyle w:val="BodyText24"/>
              <w:jc w:val="center"/>
              <w:rPr>
                <w:sz w:val="24"/>
                <w:szCs w:val="24"/>
                <w:lang w:val="uk-UA"/>
              </w:rPr>
            </w:pPr>
            <w:r w:rsidRPr="00867858">
              <w:rPr>
                <w:sz w:val="24"/>
                <w:szCs w:val="24"/>
                <w:lang w:val="uk-UA"/>
              </w:rPr>
              <w:t>10</w:t>
            </w:r>
          </w:p>
        </w:tc>
        <w:tc>
          <w:tcPr>
            <w:tcW w:w="2542" w:type="dxa"/>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BodyText24"/>
              <w:jc w:val="left"/>
              <w:rPr>
                <w:sz w:val="24"/>
                <w:szCs w:val="24"/>
                <w:lang w:val="uk-UA"/>
              </w:rPr>
            </w:pPr>
            <w:r w:rsidRPr="00867858">
              <w:rPr>
                <w:sz w:val="24"/>
                <w:szCs w:val="24"/>
                <w:lang w:val="uk-UA"/>
              </w:rPr>
              <w:t>Особистісні компетенції</w:t>
            </w:r>
          </w:p>
        </w:tc>
        <w:tc>
          <w:tcPr>
            <w:tcW w:w="6735" w:type="dxa"/>
            <w:gridSpan w:val="2"/>
            <w:tcBorders>
              <w:top w:val="single" w:sz="4" w:space="0" w:color="auto"/>
              <w:left w:val="single" w:sz="4" w:space="0" w:color="auto"/>
              <w:bottom w:val="single" w:sz="4" w:space="0" w:color="auto"/>
              <w:right w:val="single" w:sz="4" w:space="0" w:color="auto"/>
            </w:tcBorders>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аналітичні здібності;</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дисципліна і системність;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 xml:space="preserve">3) </w:t>
            </w:r>
            <w:proofErr w:type="spellStart"/>
            <w:r w:rsidRPr="00867858">
              <w:rPr>
                <w:rFonts w:eastAsia="Times New Roman"/>
                <w:lang w:val="uk-UA" w:eastAsia="uk-UA"/>
              </w:rPr>
              <w:t>інноваційність</w:t>
            </w:r>
            <w:proofErr w:type="spellEnd"/>
            <w:r w:rsidRPr="00867858">
              <w:rPr>
                <w:rFonts w:eastAsia="Times New Roman"/>
                <w:lang w:val="uk-UA" w:eastAsia="uk-UA"/>
              </w:rPr>
              <w:t xml:space="preserve"> та креативність;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4) самоорганізація та орієнтація на розвиток;</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5) дипломатичність та гнучкість;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6) незалежність та ініціативність;</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7</w:t>
            </w:r>
            <w:r w:rsidR="00F810A2" w:rsidRPr="00867858">
              <w:rPr>
                <w:rFonts w:eastAsia="Times New Roman"/>
                <w:lang w:val="uk-UA" w:eastAsia="uk-UA"/>
              </w:rPr>
              <w:t>) вміння працювати в стресових ситуаціях.</w:t>
            </w:r>
          </w:p>
        </w:tc>
      </w:tr>
      <w:tr w:rsidR="00167A20" w:rsidRPr="00867858" w:rsidTr="0033377A">
        <w:trPr>
          <w:trHeight w:val="166"/>
        </w:trPr>
        <w:tc>
          <w:tcPr>
            <w:tcW w:w="10075" w:type="dxa"/>
            <w:gridSpan w:val="4"/>
          </w:tcPr>
          <w:p w:rsidR="00167A20" w:rsidRPr="00867858" w:rsidRDefault="00167A20" w:rsidP="001D0FA9">
            <w:pPr>
              <w:pStyle w:val="a4"/>
              <w:spacing w:before="0" w:beforeAutospacing="0" w:after="0" w:afterAutospacing="0"/>
              <w:jc w:val="center"/>
              <w:rPr>
                <w:rStyle w:val="FontStyle84"/>
                <w:sz w:val="24"/>
                <w:szCs w:val="24"/>
                <w:lang w:val="uk-UA" w:eastAsia="uk-UA"/>
              </w:rPr>
            </w:pPr>
            <w:r w:rsidRPr="00867858">
              <w:rPr>
                <w:rStyle w:val="FontStyle84"/>
                <w:sz w:val="24"/>
                <w:szCs w:val="24"/>
                <w:lang w:val="uk-UA" w:eastAsia="uk-UA"/>
              </w:rPr>
              <w:t>Професійні знання</w:t>
            </w:r>
          </w:p>
        </w:tc>
      </w:tr>
      <w:tr w:rsidR="00167A20" w:rsidRPr="00867858" w:rsidTr="0033377A">
        <w:trPr>
          <w:trHeight w:val="166"/>
        </w:trPr>
        <w:tc>
          <w:tcPr>
            <w:tcW w:w="798" w:type="dxa"/>
          </w:tcPr>
          <w:p w:rsidR="00167A20" w:rsidRPr="00867858" w:rsidRDefault="00167A20" w:rsidP="00763C55">
            <w:pPr>
              <w:jc w:val="center"/>
              <w:rPr>
                <w:b/>
              </w:rPr>
            </w:pPr>
          </w:p>
        </w:tc>
        <w:tc>
          <w:tcPr>
            <w:tcW w:w="2542" w:type="dxa"/>
          </w:tcPr>
          <w:p w:rsidR="00167A20" w:rsidRPr="00867858" w:rsidRDefault="00763C55" w:rsidP="00763C55">
            <w:pPr>
              <w:pStyle w:val="a4"/>
              <w:jc w:val="center"/>
              <w:rPr>
                <w:rStyle w:val="FontStyle72"/>
                <w:b/>
                <w:sz w:val="24"/>
                <w:szCs w:val="24"/>
                <w:lang w:val="uk-UA" w:eastAsia="uk-UA"/>
              </w:rPr>
            </w:pPr>
            <w:r w:rsidRPr="00867858">
              <w:rPr>
                <w:rStyle w:val="FontStyle72"/>
                <w:b/>
                <w:sz w:val="24"/>
                <w:szCs w:val="24"/>
                <w:lang w:val="uk-UA" w:eastAsia="uk-UA"/>
              </w:rPr>
              <w:t>Вимога</w:t>
            </w:r>
          </w:p>
        </w:tc>
        <w:tc>
          <w:tcPr>
            <w:tcW w:w="6735" w:type="dxa"/>
            <w:gridSpan w:val="2"/>
          </w:tcPr>
          <w:p w:rsidR="00167A20" w:rsidRPr="00867858" w:rsidRDefault="00763C55" w:rsidP="00763C55">
            <w:pPr>
              <w:pStyle w:val="rvps14"/>
              <w:tabs>
                <w:tab w:val="left" w:pos="327"/>
              </w:tabs>
              <w:spacing w:before="0" w:beforeAutospacing="0" w:after="0" w:afterAutospacing="0"/>
              <w:jc w:val="center"/>
              <w:rPr>
                <w:rStyle w:val="FontStyle84"/>
                <w:sz w:val="24"/>
                <w:szCs w:val="24"/>
              </w:rPr>
            </w:pPr>
            <w:r w:rsidRPr="00867858">
              <w:rPr>
                <w:rStyle w:val="FontStyle84"/>
                <w:sz w:val="24"/>
                <w:szCs w:val="24"/>
              </w:rPr>
              <w:t>Компоненти вимоги</w:t>
            </w:r>
          </w:p>
        </w:tc>
      </w:tr>
      <w:tr w:rsidR="00763C55" w:rsidRPr="00867858" w:rsidTr="0033377A">
        <w:trPr>
          <w:trHeight w:val="166"/>
        </w:trPr>
        <w:tc>
          <w:tcPr>
            <w:tcW w:w="798" w:type="dxa"/>
          </w:tcPr>
          <w:p w:rsidR="00763C55" w:rsidRPr="00867858" w:rsidRDefault="00763C55" w:rsidP="001D0FA9">
            <w:pPr>
              <w:jc w:val="center"/>
            </w:pPr>
            <w:r w:rsidRPr="00867858">
              <w:t>1</w:t>
            </w:r>
          </w:p>
        </w:tc>
        <w:tc>
          <w:tcPr>
            <w:tcW w:w="2542" w:type="dxa"/>
          </w:tcPr>
          <w:p w:rsidR="00763C55" w:rsidRPr="00867858" w:rsidRDefault="00763C55" w:rsidP="001D0FA9">
            <w:pPr>
              <w:pStyle w:val="a4"/>
              <w:rPr>
                <w:rStyle w:val="FontStyle72"/>
                <w:sz w:val="24"/>
                <w:szCs w:val="24"/>
                <w:lang w:val="uk-UA" w:eastAsia="uk-UA"/>
              </w:rPr>
            </w:pPr>
            <w:r w:rsidRPr="00867858">
              <w:rPr>
                <w:rStyle w:val="FontStyle72"/>
                <w:sz w:val="24"/>
                <w:szCs w:val="24"/>
                <w:lang w:val="uk-UA" w:eastAsia="uk-UA"/>
              </w:rPr>
              <w:t>Знання законодавства</w:t>
            </w:r>
          </w:p>
        </w:tc>
        <w:tc>
          <w:tcPr>
            <w:tcW w:w="6735" w:type="dxa"/>
            <w:gridSpan w:val="2"/>
          </w:tcPr>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Конституція України;</w:t>
            </w:r>
          </w:p>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Закон України «Про державну службу»;</w:t>
            </w:r>
          </w:p>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Закон Укр</w:t>
            </w:r>
            <w:r w:rsidR="00DE6BA8">
              <w:t>аїни «Про запобігання корупції»</w:t>
            </w:r>
          </w:p>
        </w:tc>
      </w:tr>
      <w:tr w:rsidR="005E436B" w:rsidRPr="00867858" w:rsidTr="0033377A">
        <w:trPr>
          <w:trHeight w:val="166"/>
        </w:trPr>
        <w:tc>
          <w:tcPr>
            <w:tcW w:w="798" w:type="dxa"/>
          </w:tcPr>
          <w:p w:rsidR="005E436B" w:rsidRPr="00867858" w:rsidRDefault="005E436B" w:rsidP="001D0FA9">
            <w:pPr>
              <w:jc w:val="center"/>
            </w:pPr>
            <w:r w:rsidRPr="00867858">
              <w:t>2</w:t>
            </w:r>
          </w:p>
        </w:tc>
        <w:tc>
          <w:tcPr>
            <w:tcW w:w="2542" w:type="dxa"/>
          </w:tcPr>
          <w:p w:rsidR="005E436B" w:rsidRPr="00867858" w:rsidRDefault="005E436B" w:rsidP="001D0FA9">
            <w:pPr>
              <w:pStyle w:val="a4"/>
              <w:rPr>
                <w:rStyle w:val="FontStyle72"/>
                <w:sz w:val="24"/>
                <w:szCs w:val="24"/>
                <w:lang w:val="uk-UA" w:eastAsia="uk-UA"/>
              </w:rPr>
            </w:pPr>
            <w:r w:rsidRPr="00867858">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5E436B" w:rsidRPr="00EB7EA3" w:rsidRDefault="00EB7EA3" w:rsidP="00137896">
            <w:pPr>
              <w:numPr>
                <w:ilvl w:val="0"/>
                <w:numId w:val="8"/>
              </w:numPr>
              <w:tabs>
                <w:tab w:val="left" w:pos="278"/>
                <w:tab w:val="left" w:pos="341"/>
              </w:tabs>
              <w:ind w:left="-5" w:firstLine="0"/>
            </w:pPr>
            <w:r w:rsidRPr="00EB7EA3">
              <w:t>України</w:t>
            </w:r>
            <w:r w:rsidRPr="00867858">
              <w:rPr>
                <w:sz w:val="22"/>
                <w:szCs w:val="22"/>
              </w:rPr>
              <w:t xml:space="preserve"> </w:t>
            </w:r>
            <w:r w:rsidR="005E436B" w:rsidRPr="00867858">
              <w:rPr>
                <w:sz w:val="22"/>
                <w:szCs w:val="22"/>
              </w:rPr>
              <w:t>Закон України «Про судоустрій і статус суддів»;</w:t>
            </w:r>
          </w:p>
          <w:p w:rsidR="00EB7EA3" w:rsidRPr="00867858" w:rsidRDefault="00EB7EA3" w:rsidP="00137896">
            <w:pPr>
              <w:numPr>
                <w:ilvl w:val="0"/>
                <w:numId w:val="8"/>
              </w:numPr>
              <w:tabs>
                <w:tab w:val="left" w:pos="278"/>
                <w:tab w:val="left" w:pos="341"/>
              </w:tabs>
              <w:ind w:left="-5" w:firstLine="0"/>
            </w:pPr>
            <w:r w:rsidRPr="00EB7EA3">
              <w:t>Гос</w:t>
            </w:r>
            <w:r>
              <w:t>подарський процесуальний кодекс України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Закон України «Про інформацію»;</w:t>
            </w:r>
          </w:p>
          <w:p w:rsidR="005E436B" w:rsidRPr="00867858" w:rsidRDefault="00EB7EA3" w:rsidP="00137896">
            <w:pPr>
              <w:numPr>
                <w:ilvl w:val="0"/>
                <w:numId w:val="8"/>
              </w:numPr>
              <w:tabs>
                <w:tab w:val="left" w:pos="278"/>
                <w:tab w:val="left" w:pos="341"/>
              </w:tabs>
              <w:ind w:left="-5" w:firstLine="0"/>
              <w:rPr>
                <w:sz w:val="22"/>
                <w:szCs w:val="22"/>
              </w:rPr>
            </w:pPr>
            <w:r w:rsidRPr="00EB7EA3">
              <w:t>Цивільний процесуальний кодекс України</w:t>
            </w:r>
          </w:p>
        </w:tc>
      </w:tr>
    </w:tbl>
    <w:p w:rsidR="00167A20" w:rsidRPr="00867858" w:rsidRDefault="00167A20"/>
    <w:sectPr w:rsidR="00167A20" w:rsidRPr="00867858" w:rsidSect="00B66D66">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B75" w:rsidRDefault="005A3B75" w:rsidP="00BE5B37">
      <w:r>
        <w:separator/>
      </w:r>
    </w:p>
  </w:endnote>
  <w:endnote w:type="continuationSeparator" w:id="0">
    <w:p w:rsidR="005A3B75" w:rsidRDefault="005A3B75"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B75" w:rsidRDefault="005A3B75" w:rsidP="00BE5B37">
      <w:r>
        <w:separator/>
      </w:r>
    </w:p>
  </w:footnote>
  <w:footnote w:type="continuationSeparator" w:id="0">
    <w:p w:rsidR="005A3B75" w:rsidRDefault="005A3B75"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ED12F4" w:rsidRPr="00ED12F4">
      <w:rPr>
        <w:noProof/>
        <w:lang w:val="ru-RU"/>
      </w:rPr>
      <w:t>4</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5"/>
  </w:num>
  <w:num w:numId="2">
    <w:abstractNumId w:val="0"/>
  </w:num>
  <w:num w:numId="3">
    <w:abstractNumId w:val="7"/>
  </w:num>
  <w:num w:numId="4">
    <w:abstractNumId w:val="9"/>
  </w:num>
  <w:num w:numId="5">
    <w:abstractNumId w:val="2"/>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61437"/>
    <w:rsid w:val="00062ACD"/>
    <w:rsid w:val="00072320"/>
    <w:rsid w:val="00074108"/>
    <w:rsid w:val="0007447E"/>
    <w:rsid w:val="00095D31"/>
    <w:rsid w:val="000A2375"/>
    <w:rsid w:val="000B19EC"/>
    <w:rsid w:val="000E556D"/>
    <w:rsid w:val="000F4470"/>
    <w:rsid w:val="000F494F"/>
    <w:rsid w:val="00106DE3"/>
    <w:rsid w:val="00115237"/>
    <w:rsid w:val="0012328F"/>
    <w:rsid w:val="00126CD3"/>
    <w:rsid w:val="00137896"/>
    <w:rsid w:val="00167A20"/>
    <w:rsid w:val="001843E4"/>
    <w:rsid w:val="001C32AD"/>
    <w:rsid w:val="001D127F"/>
    <w:rsid w:val="001D485E"/>
    <w:rsid w:val="00203362"/>
    <w:rsid w:val="002067BE"/>
    <w:rsid w:val="00212510"/>
    <w:rsid w:val="0022394C"/>
    <w:rsid w:val="00270195"/>
    <w:rsid w:val="00270C31"/>
    <w:rsid w:val="002B0D43"/>
    <w:rsid w:val="002B6DD2"/>
    <w:rsid w:val="002C2ECE"/>
    <w:rsid w:val="002C5D30"/>
    <w:rsid w:val="002C7780"/>
    <w:rsid w:val="002F7A91"/>
    <w:rsid w:val="00303B28"/>
    <w:rsid w:val="00304E6A"/>
    <w:rsid w:val="00305C10"/>
    <w:rsid w:val="0030731F"/>
    <w:rsid w:val="003163B0"/>
    <w:rsid w:val="00324203"/>
    <w:rsid w:val="0033377A"/>
    <w:rsid w:val="003452CB"/>
    <w:rsid w:val="003606AB"/>
    <w:rsid w:val="00370F2D"/>
    <w:rsid w:val="003B09E4"/>
    <w:rsid w:val="00412424"/>
    <w:rsid w:val="004378B6"/>
    <w:rsid w:val="00441926"/>
    <w:rsid w:val="00450529"/>
    <w:rsid w:val="00454C0F"/>
    <w:rsid w:val="0046691C"/>
    <w:rsid w:val="00480628"/>
    <w:rsid w:val="004C5086"/>
    <w:rsid w:val="004E35A0"/>
    <w:rsid w:val="004F1322"/>
    <w:rsid w:val="00504AB4"/>
    <w:rsid w:val="00511BD0"/>
    <w:rsid w:val="00512FED"/>
    <w:rsid w:val="0052473F"/>
    <w:rsid w:val="005633D0"/>
    <w:rsid w:val="00571034"/>
    <w:rsid w:val="005729EA"/>
    <w:rsid w:val="005A3B75"/>
    <w:rsid w:val="005D1E9F"/>
    <w:rsid w:val="005E274D"/>
    <w:rsid w:val="005E436B"/>
    <w:rsid w:val="005F76D3"/>
    <w:rsid w:val="006225DB"/>
    <w:rsid w:val="00670F5C"/>
    <w:rsid w:val="0067402E"/>
    <w:rsid w:val="0069483A"/>
    <w:rsid w:val="006A0C5A"/>
    <w:rsid w:val="006D1527"/>
    <w:rsid w:val="006D313E"/>
    <w:rsid w:val="006F42FF"/>
    <w:rsid w:val="0072734E"/>
    <w:rsid w:val="00740779"/>
    <w:rsid w:val="007459A3"/>
    <w:rsid w:val="00763C55"/>
    <w:rsid w:val="00772D62"/>
    <w:rsid w:val="007A03DA"/>
    <w:rsid w:val="007F1FE0"/>
    <w:rsid w:val="00836C33"/>
    <w:rsid w:val="00837492"/>
    <w:rsid w:val="00844403"/>
    <w:rsid w:val="00867858"/>
    <w:rsid w:val="00875DE0"/>
    <w:rsid w:val="008934B7"/>
    <w:rsid w:val="008D47DF"/>
    <w:rsid w:val="008F7C02"/>
    <w:rsid w:val="00923F7F"/>
    <w:rsid w:val="00924F06"/>
    <w:rsid w:val="0092546C"/>
    <w:rsid w:val="00933D75"/>
    <w:rsid w:val="00935BF0"/>
    <w:rsid w:val="00943F2F"/>
    <w:rsid w:val="00954A5D"/>
    <w:rsid w:val="00961C48"/>
    <w:rsid w:val="00994A67"/>
    <w:rsid w:val="009B60D2"/>
    <w:rsid w:val="009C5E48"/>
    <w:rsid w:val="009E5982"/>
    <w:rsid w:val="00A05119"/>
    <w:rsid w:val="00A40796"/>
    <w:rsid w:val="00A419C2"/>
    <w:rsid w:val="00A459D5"/>
    <w:rsid w:val="00A740EF"/>
    <w:rsid w:val="00AB12A1"/>
    <w:rsid w:val="00AB6162"/>
    <w:rsid w:val="00AC3605"/>
    <w:rsid w:val="00B00371"/>
    <w:rsid w:val="00B4784E"/>
    <w:rsid w:val="00B532DC"/>
    <w:rsid w:val="00B66D66"/>
    <w:rsid w:val="00B70382"/>
    <w:rsid w:val="00B77C9C"/>
    <w:rsid w:val="00B77FD8"/>
    <w:rsid w:val="00B86187"/>
    <w:rsid w:val="00B96641"/>
    <w:rsid w:val="00BA3519"/>
    <w:rsid w:val="00BB27C6"/>
    <w:rsid w:val="00BE06BB"/>
    <w:rsid w:val="00BE5B37"/>
    <w:rsid w:val="00BF3CE0"/>
    <w:rsid w:val="00C1034E"/>
    <w:rsid w:val="00C17854"/>
    <w:rsid w:val="00C2387E"/>
    <w:rsid w:val="00C43BF3"/>
    <w:rsid w:val="00C546F1"/>
    <w:rsid w:val="00C54D35"/>
    <w:rsid w:val="00C66DE3"/>
    <w:rsid w:val="00C73899"/>
    <w:rsid w:val="00C84F3C"/>
    <w:rsid w:val="00C90E3C"/>
    <w:rsid w:val="00CF25DB"/>
    <w:rsid w:val="00D01815"/>
    <w:rsid w:val="00D119DD"/>
    <w:rsid w:val="00D23D5C"/>
    <w:rsid w:val="00D47F84"/>
    <w:rsid w:val="00D74033"/>
    <w:rsid w:val="00D84975"/>
    <w:rsid w:val="00DE0898"/>
    <w:rsid w:val="00DE67CE"/>
    <w:rsid w:val="00DE6BA8"/>
    <w:rsid w:val="00DF1C32"/>
    <w:rsid w:val="00DF4A0B"/>
    <w:rsid w:val="00E133C2"/>
    <w:rsid w:val="00E27422"/>
    <w:rsid w:val="00E41BA7"/>
    <w:rsid w:val="00E47215"/>
    <w:rsid w:val="00E561BB"/>
    <w:rsid w:val="00E57740"/>
    <w:rsid w:val="00E65B31"/>
    <w:rsid w:val="00E715C2"/>
    <w:rsid w:val="00E96A22"/>
    <w:rsid w:val="00EA2637"/>
    <w:rsid w:val="00EA79EB"/>
    <w:rsid w:val="00EB0D48"/>
    <w:rsid w:val="00EB27C6"/>
    <w:rsid w:val="00EB2E0D"/>
    <w:rsid w:val="00EB3B99"/>
    <w:rsid w:val="00EB7EA3"/>
    <w:rsid w:val="00EC35D2"/>
    <w:rsid w:val="00EC4B17"/>
    <w:rsid w:val="00ED12F4"/>
    <w:rsid w:val="00ED4C45"/>
    <w:rsid w:val="00EF7C71"/>
    <w:rsid w:val="00F07B6C"/>
    <w:rsid w:val="00F239B3"/>
    <w:rsid w:val="00F3150D"/>
    <w:rsid w:val="00F46808"/>
    <w:rsid w:val="00F5185E"/>
    <w:rsid w:val="00F602B1"/>
    <w:rsid w:val="00F801E9"/>
    <w:rsid w:val="00F810A2"/>
    <w:rsid w:val="00FA18FB"/>
    <w:rsid w:val="00FA4D8E"/>
    <w:rsid w:val="00FC054A"/>
    <w:rsid w:val="00FC27A0"/>
    <w:rsid w:val="00FC76F5"/>
    <w:rsid w:val="00FD6FE3"/>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940</Words>
  <Characters>6548</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9</cp:revision>
  <cp:lastPrinted>2018-05-22T11:40:00Z</cp:lastPrinted>
  <dcterms:created xsi:type="dcterms:W3CDTF">2018-08-07T08:59:00Z</dcterms:created>
  <dcterms:modified xsi:type="dcterms:W3CDTF">2018-08-08T06:07:00Z</dcterms:modified>
</cp:coreProperties>
</file>