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1" w:rsidRDefault="00952871" w:rsidP="00952871">
      <w:pPr>
        <w:ind w:left="6237"/>
      </w:pPr>
      <w:r>
        <w:t>ЗАТВЕРДЖЕНО</w:t>
      </w:r>
    </w:p>
    <w:p w:rsidR="006A0C5A" w:rsidRPr="00212510" w:rsidRDefault="00952871" w:rsidP="00952871">
      <w:pPr>
        <w:ind w:left="6237"/>
      </w:pPr>
      <w:r>
        <w:t>наказом О</w:t>
      </w:r>
      <w:r w:rsidR="006A0C5A" w:rsidRPr="00212510">
        <w:t>деського</w:t>
      </w:r>
      <w:r>
        <w:t xml:space="preserve"> </w:t>
      </w:r>
      <w:r w:rsidR="006A0C5A" w:rsidRPr="00212510">
        <w:t>апеляційного</w:t>
      </w:r>
      <w:r>
        <w:t xml:space="preserve"> </w:t>
      </w:r>
      <w:r w:rsidR="006A0C5A" w:rsidRPr="00212510">
        <w:t>господарського суду</w:t>
      </w:r>
    </w:p>
    <w:p w:rsidR="006A0C5A" w:rsidRPr="00212510" w:rsidRDefault="002D7795" w:rsidP="00952871">
      <w:pPr>
        <w:ind w:left="6237"/>
      </w:pPr>
      <w:r>
        <w:t xml:space="preserve">від </w:t>
      </w:r>
      <w:r w:rsidR="00DD2F74">
        <w:t>06.12</w:t>
      </w:r>
      <w:r w:rsidR="00952871">
        <w:t>.</w:t>
      </w:r>
      <w:r w:rsidR="000D5EC3" w:rsidRPr="0071684C">
        <w:t>2017</w:t>
      </w:r>
      <w:r w:rsidR="006A0C5A" w:rsidRPr="0071684C">
        <w:t xml:space="preserve"> №</w:t>
      </w:r>
      <w:r w:rsidR="000D5EC3" w:rsidRPr="0071684C">
        <w:t xml:space="preserve"> </w:t>
      </w:r>
      <w:r w:rsidR="00952871">
        <w:t>3</w:t>
      </w:r>
      <w:r w:rsidR="00DD2F74">
        <w:t>35</w:t>
      </w:r>
      <w:r w:rsidR="006A0C5A" w:rsidRPr="0071684C">
        <w:t>-к</w:t>
      </w:r>
    </w:p>
    <w:p w:rsidR="006A0C5A" w:rsidRDefault="006A0C5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проведення конкурсу на зайняття посади державної служби </w:t>
      </w:r>
      <w:r w:rsidRPr="0096776D">
        <w:rPr>
          <w:rStyle w:val="rvts15"/>
        </w:rPr>
        <w:t>категорії «В»</w:t>
      </w:r>
      <w:r>
        <w:rPr>
          <w:rStyle w:val="rvts15"/>
        </w:rPr>
        <w:t xml:space="preserve"> - головного спеціаліста відділу організаційного забезпечення роботи суду та розгляду звернень</w:t>
      </w: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Одеського апеляційного господарського суду</w:t>
      </w:r>
    </w:p>
    <w:p w:rsidR="00212510" w:rsidRDefault="00212510" w:rsidP="00212510">
      <w:pPr>
        <w:pStyle w:val="rvps7"/>
        <w:spacing w:before="0" w:beforeAutospacing="0" w:after="0" w:afterAutospacing="0"/>
        <w:jc w:val="center"/>
      </w:pPr>
    </w:p>
    <w:tbl>
      <w:tblPr>
        <w:tblW w:w="506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542"/>
        <w:gridCol w:w="1856"/>
        <w:gridCol w:w="5021"/>
      </w:tblGrid>
      <w:tr w:rsidR="00270195" w:rsidTr="007B033F">
        <w:tc>
          <w:tcPr>
            <w:tcW w:w="9797" w:type="dxa"/>
            <w:gridSpan w:val="4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0" w:name="n196"/>
            <w:bookmarkEnd w:id="0"/>
            <w:r>
              <w:t>Загальні умови</w:t>
            </w:r>
          </w:p>
        </w:tc>
      </w:tr>
      <w:tr w:rsidR="00270195" w:rsidTr="007B033F">
        <w:tc>
          <w:tcPr>
            <w:tcW w:w="4776" w:type="dxa"/>
            <w:gridSpan w:val="3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5021" w:type="dxa"/>
          </w:tcPr>
          <w:p w:rsidR="00270195" w:rsidRPr="002C2ECE" w:rsidRDefault="00DD2F74" w:rsidP="00F602B1">
            <w:pPr>
              <w:pStyle w:val="rvps14"/>
              <w:spacing w:before="0" w:beforeAutospacing="0" w:after="0" w:afterAutospacing="0"/>
            </w:pPr>
            <w:r>
              <w:t xml:space="preserve">здійснення організаційного забезпечення діяльності керівництва суду; проведення роботи з попереднього розгляду звернень (запитів, заяв скарг) громадян і організацій; підготовка довідкової інформації на запити учасників судового процесу; </w:t>
            </w:r>
            <w:r w:rsidRPr="00E27422">
              <w:t xml:space="preserve">забезпечення проведення </w:t>
            </w:r>
            <w:r w:rsidRPr="00F602B1">
              <w:t>конференцій, круглих столів, семінарів</w:t>
            </w:r>
            <w:r w:rsidRPr="00E27422">
              <w:t>;</w:t>
            </w:r>
            <w:r>
              <w:t xml:space="preserve"> </w:t>
            </w:r>
            <w:r w:rsidRPr="00E27422">
              <w:t xml:space="preserve">підготовка довідкових матеріалів, інформації для звітів з питань роботи суду для розгляду на зборах та нарадах </w:t>
            </w:r>
            <w:r>
              <w:t xml:space="preserve">оприлюднення інформації з питань </w:t>
            </w:r>
            <w:r w:rsidRPr="00E27422">
              <w:t>діяльності суду</w:t>
            </w:r>
            <w:r>
              <w:t xml:space="preserve">, </w:t>
            </w:r>
            <w:r w:rsidRPr="00E27422">
              <w:t>інші функціональні обов'язки відповідно до посадової інструкції</w:t>
            </w:r>
          </w:p>
        </w:tc>
      </w:tr>
      <w:tr w:rsidR="00270195" w:rsidTr="007B033F">
        <w:tc>
          <w:tcPr>
            <w:tcW w:w="4776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t>Умови оплати праці</w:t>
            </w:r>
          </w:p>
        </w:tc>
        <w:tc>
          <w:tcPr>
            <w:tcW w:w="5021" w:type="dxa"/>
          </w:tcPr>
          <w:p w:rsidR="00270195" w:rsidRDefault="00270195" w:rsidP="00D9346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1034E">
              <w:t>3</w:t>
            </w:r>
            <w:r w:rsidR="00D93468">
              <w:t>801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7B033F">
        <w:tc>
          <w:tcPr>
            <w:tcW w:w="4776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5021" w:type="dxa"/>
          </w:tcPr>
          <w:p w:rsidR="00270195" w:rsidRDefault="00DD2F74" w:rsidP="003309E3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270195" w:rsidTr="007B033F">
        <w:tc>
          <w:tcPr>
            <w:tcW w:w="4776" w:type="dxa"/>
            <w:gridSpan w:val="3"/>
          </w:tcPr>
          <w:p w:rsidR="00270195" w:rsidRDefault="00270195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021" w:type="dxa"/>
          </w:tcPr>
          <w:p w:rsidR="00DD2F74" w:rsidRPr="006549FA" w:rsidRDefault="00DD2F74" w:rsidP="00DD2F74">
            <w:pPr>
              <w:pStyle w:val="rvps2"/>
              <w:spacing w:before="0" w:beforeAutospacing="0" w:after="0" w:afterAutospacing="0"/>
            </w:pPr>
            <w:r w:rsidRPr="006549FA">
              <w:t>1. Копія паспорта громадянина України.</w:t>
            </w:r>
          </w:p>
          <w:p w:rsidR="00DD2F74" w:rsidRPr="006549FA" w:rsidRDefault="00DD2F74" w:rsidP="00DD2F74">
            <w:pPr>
              <w:pStyle w:val="rvps2"/>
              <w:spacing w:before="0" w:beforeAutospacing="0" w:after="0" w:afterAutospacing="0"/>
            </w:pPr>
            <w:r w:rsidRPr="006549FA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DD2F74" w:rsidRPr="006549FA" w:rsidRDefault="00DD2F74" w:rsidP="00DD2F74">
            <w:pPr>
              <w:pStyle w:val="rvps2"/>
              <w:spacing w:before="0" w:beforeAutospacing="0" w:after="0" w:afterAutospacing="0"/>
            </w:pPr>
            <w:r w:rsidRPr="006549FA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D2F74" w:rsidRPr="006549FA" w:rsidRDefault="00DD2F74" w:rsidP="00DD2F74">
            <w:pPr>
              <w:pStyle w:val="rvps2"/>
              <w:spacing w:before="0" w:beforeAutospacing="0" w:after="0" w:afterAutospacing="0"/>
            </w:pPr>
            <w:r w:rsidRPr="006549FA">
              <w:t>4. Копія документа (документів) про освіту.</w:t>
            </w:r>
          </w:p>
          <w:p w:rsidR="00DD2F74" w:rsidRDefault="00DD2F74" w:rsidP="00DD2F74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 w:rsidR="0046645B">
              <w:t>Оригінал 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  <w:bookmarkStart w:id="1" w:name="_GoBack"/>
            <w:bookmarkEnd w:id="1"/>
          </w:p>
          <w:p w:rsidR="00DD2F74" w:rsidRPr="006549FA" w:rsidRDefault="00DD2F74" w:rsidP="00DD2F74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>Заповнена особова картка встановленого зразка.</w:t>
            </w:r>
          </w:p>
          <w:p w:rsidR="00DD2F74" w:rsidRPr="00C47850" w:rsidRDefault="00DD2F74" w:rsidP="00DD2F74">
            <w:pPr>
              <w:pStyle w:val="rvps2"/>
              <w:spacing w:before="0" w:beforeAutospacing="0" w:after="0" w:afterAutospacing="0"/>
            </w:pPr>
            <w:r>
              <w:t>7</w:t>
            </w:r>
            <w:r w:rsidRPr="006549FA">
              <w:t>. Декларація особи, уповноваженої на виконання функцій держави або місцевого самоврядування, за 2016 рік (подається в порядку, передбаченому Законом України «Про запобігання корупції»)</w:t>
            </w:r>
            <w:r w:rsidRPr="00C47850">
              <w:t>.</w:t>
            </w:r>
          </w:p>
          <w:p w:rsidR="00DD2F74" w:rsidRPr="00C47850" w:rsidRDefault="00DD2F74" w:rsidP="00DD2F74">
            <w:pPr>
              <w:pStyle w:val="rvps2"/>
              <w:spacing w:before="0" w:beforeAutospacing="0" w:after="0" w:afterAutospacing="0"/>
            </w:pPr>
            <w:r w:rsidRPr="00C47850">
              <w:t xml:space="preserve">Строк подання документів: </w:t>
            </w:r>
            <w:r>
              <w:t>16</w:t>
            </w:r>
            <w:r w:rsidRPr="00C47850">
              <w:t xml:space="preserve"> календарних днів </w:t>
            </w:r>
            <w:r w:rsidRPr="00C47850">
              <w:lastRenderedPageBreak/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DD2F74" w:rsidRDefault="00DD2F74" w:rsidP="00DD2F74">
            <w:pPr>
              <w:pStyle w:val="rvps2"/>
              <w:spacing w:before="0" w:beforeAutospacing="0" w:after="0" w:afterAutospacing="0"/>
            </w:pPr>
            <w:r w:rsidRPr="00C47850">
              <w:t xml:space="preserve">Останній день прийому документів </w:t>
            </w:r>
            <w:r>
              <w:t xml:space="preserve">– </w:t>
            </w:r>
            <w:r>
              <w:br/>
              <w:t>22</w:t>
            </w:r>
            <w:r w:rsidRPr="00C47850">
              <w:t xml:space="preserve"> </w:t>
            </w:r>
            <w:r>
              <w:t>грудня 2017</w:t>
            </w:r>
            <w:r w:rsidRPr="00C47850">
              <w:t xml:space="preserve"> року до </w:t>
            </w:r>
            <w:r>
              <w:t>16:45</w:t>
            </w:r>
          </w:p>
          <w:p w:rsidR="00F35AC3" w:rsidRPr="00827866" w:rsidRDefault="00F35AC3" w:rsidP="007B033F">
            <w:pPr>
              <w:pStyle w:val="rvps2"/>
              <w:spacing w:before="0" w:beforeAutospacing="0" w:after="0" w:afterAutospacing="0"/>
            </w:pPr>
          </w:p>
        </w:tc>
      </w:tr>
      <w:tr w:rsidR="00270195" w:rsidTr="007B033F">
        <w:trPr>
          <w:trHeight w:val="703"/>
        </w:trPr>
        <w:tc>
          <w:tcPr>
            <w:tcW w:w="4776" w:type="dxa"/>
            <w:gridSpan w:val="3"/>
          </w:tcPr>
          <w:p w:rsidR="00270195" w:rsidRDefault="00270195" w:rsidP="000514FA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5021" w:type="dxa"/>
          </w:tcPr>
          <w:p w:rsidR="00270195" w:rsidRPr="00827866" w:rsidRDefault="00DD2F74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28</w:t>
            </w:r>
            <w:r w:rsidR="007B033F">
              <w:t xml:space="preserve"> </w:t>
            </w:r>
            <w:r>
              <w:t>грудня</w:t>
            </w:r>
            <w:r w:rsidR="00C7521A">
              <w:t xml:space="preserve"> 2017</w:t>
            </w:r>
            <w:r w:rsidR="00EA79EB" w:rsidRPr="00827866">
              <w:t xml:space="preserve"> року о</w:t>
            </w:r>
            <w:r w:rsidR="00440C68">
              <w:t xml:space="preserve"> 1</w:t>
            </w:r>
            <w:r w:rsidR="00F35AC3">
              <w:t>1</w:t>
            </w:r>
            <w:r w:rsidR="00270195" w:rsidRPr="00827866">
              <w:t>:00,</w:t>
            </w:r>
          </w:p>
          <w:p w:rsidR="00270195" w:rsidRPr="00827866" w:rsidRDefault="00370F2D" w:rsidP="00F97FC5">
            <w:pPr>
              <w:pStyle w:val="rvps7"/>
              <w:spacing w:before="0" w:beforeAutospacing="0" w:after="0" w:afterAutospacing="0"/>
            </w:pPr>
            <w:r w:rsidRPr="00827866">
              <w:rPr>
                <w:rStyle w:val="rvts15"/>
              </w:rPr>
              <w:t>м. Одеса, проспект Шевчен</w:t>
            </w:r>
            <w:r w:rsidR="00270195" w:rsidRPr="00827866">
              <w:rPr>
                <w:rStyle w:val="rvts15"/>
              </w:rPr>
              <w:t xml:space="preserve">ка,29 </w:t>
            </w:r>
          </w:p>
        </w:tc>
      </w:tr>
      <w:tr w:rsidR="00270195" w:rsidTr="007B033F">
        <w:tc>
          <w:tcPr>
            <w:tcW w:w="4776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1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1D127F" w:rsidRDefault="00270195" w:rsidP="00961C48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  <w:p w:rsidR="00270195" w:rsidRPr="00072320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7B033F" w:rsidRPr="007B033F" w:rsidTr="007B033F">
        <w:trPr>
          <w:trHeight w:val="312"/>
        </w:trPr>
        <w:tc>
          <w:tcPr>
            <w:tcW w:w="9797" w:type="dxa"/>
            <w:gridSpan w:val="4"/>
          </w:tcPr>
          <w:p w:rsidR="007B033F" w:rsidRPr="007B033F" w:rsidRDefault="007B033F" w:rsidP="007B03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B033F">
              <w:rPr>
                <w:b/>
              </w:rPr>
              <w:t>Кваліфікаційні вимоги</w:t>
            </w:r>
          </w:p>
        </w:tc>
      </w:tr>
      <w:tr w:rsidR="007B033F" w:rsidRPr="007B033F" w:rsidTr="007B033F">
        <w:trPr>
          <w:trHeight w:val="329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lang w:eastAsia="ru-RU"/>
              </w:rPr>
            </w:pPr>
            <w:r w:rsidRPr="007B033F">
              <w:rPr>
                <w:lang w:eastAsia="ru-RU"/>
              </w:rPr>
              <w:t>Освіта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rPr>
                <w:lang w:eastAsia="ru-RU"/>
              </w:rPr>
            </w:pPr>
            <w:r w:rsidRPr="007B033F">
              <w:rPr>
                <w:lang w:eastAsia="ru-RU"/>
              </w:rPr>
              <w:t>не нижче молодшого бакалавра або бакалавра</w:t>
            </w:r>
          </w:p>
        </w:tc>
      </w:tr>
      <w:tr w:rsidR="007B033F" w:rsidRPr="007B033F" w:rsidTr="007B033F">
        <w:trPr>
          <w:trHeight w:val="409"/>
        </w:trPr>
        <w:tc>
          <w:tcPr>
            <w:tcW w:w="378" w:type="dxa"/>
          </w:tcPr>
          <w:p w:rsidR="007B033F" w:rsidRPr="007B033F" w:rsidRDefault="007B033F" w:rsidP="007B03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B033F">
              <w:rPr>
                <w:b/>
                <w:lang w:eastAsia="ru-RU"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B033F">
              <w:rPr>
                <w:lang w:eastAsia="ru-RU"/>
              </w:rPr>
              <w:t xml:space="preserve">Досвід роботи 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</w:pPr>
            <w:r w:rsidRPr="007B033F">
              <w:t>не потребує</w:t>
            </w:r>
          </w:p>
        </w:tc>
      </w:tr>
      <w:tr w:rsidR="007B033F" w:rsidRPr="007B033F" w:rsidTr="007B033F">
        <w:trPr>
          <w:trHeight w:val="312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3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b/>
              </w:rPr>
            </w:pPr>
            <w:r w:rsidRPr="007B033F">
              <w:rPr>
                <w:lang w:eastAsia="ru-RU"/>
              </w:rPr>
              <w:t>Володіння державною мовою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rPr>
                <w:b/>
              </w:rPr>
            </w:pPr>
            <w:r w:rsidRPr="007B033F">
              <w:rPr>
                <w:lang w:eastAsia="ru-RU"/>
              </w:rPr>
              <w:t>вільне володіння державною мовою</w:t>
            </w:r>
          </w:p>
        </w:tc>
      </w:tr>
      <w:tr w:rsidR="007B033F" w:rsidRPr="007B033F" w:rsidTr="007B033F">
        <w:trPr>
          <w:trHeight w:val="312"/>
        </w:trPr>
        <w:tc>
          <w:tcPr>
            <w:tcW w:w="9797" w:type="dxa"/>
            <w:gridSpan w:val="4"/>
          </w:tcPr>
          <w:p w:rsidR="007B033F" w:rsidRPr="007B033F" w:rsidRDefault="007B033F" w:rsidP="007B033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Вимоги до компетентно</w:t>
            </w:r>
            <w:r w:rsidRPr="007B033F">
              <w:rPr>
                <w:b/>
                <w:lang w:eastAsia="ru-RU"/>
              </w:rPr>
              <w:t>сті</w:t>
            </w:r>
          </w:p>
        </w:tc>
      </w:tr>
      <w:tr w:rsidR="007B033F" w:rsidRPr="007B033F" w:rsidTr="007B033F">
        <w:trPr>
          <w:trHeight w:val="329"/>
        </w:trPr>
        <w:tc>
          <w:tcPr>
            <w:tcW w:w="2920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Вимога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Компоненти вимоги</w:t>
            </w:r>
          </w:p>
        </w:tc>
      </w:tr>
      <w:tr w:rsidR="007B033F" w:rsidRPr="007B033F" w:rsidTr="007B033F">
        <w:trPr>
          <w:trHeight w:val="185"/>
        </w:trPr>
        <w:tc>
          <w:tcPr>
            <w:tcW w:w="378" w:type="dxa"/>
          </w:tcPr>
          <w:p w:rsidR="007B033F" w:rsidRPr="007B033F" w:rsidRDefault="007B033F" w:rsidP="007B033F">
            <w:pPr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7B033F">
              <w:rPr>
                <w:b/>
                <w:lang w:eastAsia="ru-RU"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autoSpaceDE w:val="0"/>
              <w:autoSpaceDN w:val="0"/>
              <w:rPr>
                <w:lang w:eastAsia="ru-RU"/>
              </w:rPr>
            </w:pPr>
            <w:r w:rsidRPr="007B033F">
              <w:rPr>
                <w:lang w:eastAsia="ru-RU"/>
              </w:rPr>
              <w:t>Якісне виконання поставлених завдань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працювати з інформацією;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здатність працювати в декількох проектах одночасно;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орієнтація на досягнення кінцевих результатів;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4) вміння вирішувати комплексні завдання;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5) вміння ефективно використовувати ресурси;</w:t>
            </w:r>
          </w:p>
          <w:p w:rsidR="007B033F" w:rsidRPr="007B033F" w:rsidRDefault="007B033F" w:rsidP="007B033F">
            <w:pPr>
              <w:rPr>
                <w:rFonts w:eastAsia="Calibri"/>
                <w:bCs/>
              </w:rPr>
            </w:pPr>
            <w:r w:rsidRPr="007B033F">
              <w:rPr>
                <w:rFonts w:eastAsia="Calibri"/>
                <w:lang w:eastAsia="ru-RU"/>
              </w:rPr>
              <w:t>6) вміння надавати пропозиції, їх аргументувати та презентувати.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Командна робота та взаємодія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працювати в команді;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вміння ефективної координації з іншими;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вміння надавати зворотний зв'язок.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3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Сприйняття змін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виконання плану змін та покращень;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здатність приймати зміни та змінюватись.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4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Технічні вміння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використовувати комп'ютерне обладнання та програмне забезпечення, використовувати офісну техніку.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5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Особистісні компетенції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відповідальність;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системність і самостійність в роботі;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уважність до деталей;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4) наполегливість;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5) креативність та ініціативність;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6) орієнтація на саморозвиток;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7) орієнтація на обслуговування;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8) вміння працювати в стресових ситуаціях.</w:t>
            </w:r>
          </w:p>
        </w:tc>
      </w:tr>
      <w:tr w:rsidR="007B033F" w:rsidRPr="007B033F" w:rsidTr="007B033F">
        <w:trPr>
          <w:trHeight w:val="166"/>
        </w:trPr>
        <w:tc>
          <w:tcPr>
            <w:tcW w:w="9797" w:type="dxa"/>
            <w:gridSpan w:val="4"/>
          </w:tcPr>
          <w:p w:rsidR="007B033F" w:rsidRPr="007B033F" w:rsidRDefault="007B033F" w:rsidP="007B033F">
            <w:pPr>
              <w:jc w:val="center"/>
              <w:rPr>
                <w:rFonts w:eastAsia="Calibri"/>
                <w:b/>
                <w:bCs/>
              </w:rPr>
            </w:pPr>
            <w:r w:rsidRPr="007B033F">
              <w:rPr>
                <w:rFonts w:eastAsia="Calibri"/>
                <w:b/>
                <w:bCs/>
              </w:rPr>
              <w:t>Професійні знання</w:t>
            </w:r>
          </w:p>
        </w:tc>
      </w:tr>
      <w:tr w:rsidR="007B033F" w:rsidRPr="007B033F" w:rsidTr="007B033F">
        <w:trPr>
          <w:trHeight w:val="329"/>
        </w:trPr>
        <w:tc>
          <w:tcPr>
            <w:tcW w:w="2920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Вимога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jc w:val="center"/>
            </w:pPr>
            <w:r w:rsidRPr="007B033F">
              <w:t>Компоненти вимоги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spacing w:before="100" w:beforeAutospacing="1" w:after="100" w:afterAutospacing="1"/>
              <w:rPr>
                <w:rFonts w:eastAsia="Calibri"/>
              </w:rPr>
            </w:pPr>
            <w:r w:rsidRPr="007B033F">
              <w:rPr>
                <w:rFonts w:eastAsia="Calibri"/>
              </w:rPr>
              <w:t>Знання законодавства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</w:pPr>
            <w:r w:rsidRPr="007B033F">
              <w:t>Конституція України;</w:t>
            </w:r>
          </w:p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</w:pPr>
            <w:r w:rsidRPr="007B033F">
              <w:t>Закон України «Про державну службу»;</w:t>
            </w:r>
          </w:p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  <w:rPr>
                <w:bCs/>
              </w:rPr>
            </w:pPr>
            <w:r w:rsidRPr="007B033F">
              <w:t>Закон України «Про запобігання корупції».</w:t>
            </w:r>
          </w:p>
        </w:tc>
      </w:tr>
      <w:tr w:rsidR="007B033F" w:rsidRPr="007B033F" w:rsidTr="007B033F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spacing w:before="100" w:beforeAutospacing="1" w:after="100" w:afterAutospacing="1"/>
              <w:rPr>
                <w:rFonts w:eastAsia="Calibri"/>
              </w:rPr>
            </w:pPr>
            <w:r w:rsidRPr="007B033F">
              <w:rPr>
                <w:rFonts w:eastAsia="Calibri"/>
              </w:rPr>
              <w:t xml:space="preserve">Знання спеціального законодавства, що пов’язане із завданням </w:t>
            </w:r>
            <w:r w:rsidRPr="007B033F">
              <w:rPr>
                <w:rFonts w:eastAsia="Calibri"/>
              </w:rPr>
              <w:lastRenderedPageBreak/>
              <w:t>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77" w:type="dxa"/>
            <w:gridSpan w:val="2"/>
          </w:tcPr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lastRenderedPageBreak/>
              <w:t>Закон України «Про судоустрій і статус суддів»;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Господарський процесуальний кодекс України;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 xml:space="preserve">Закон України «Про інформацію»; 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lastRenderedPageBreak/>
              <w:t>Закон України «Про звернення громадян»;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Закон України «Про доступ до публічної інформації";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  <w:rPr>
                <w:bCs/>
              </w:rPr>
            </w:pPr>
            <w:r w:rsidRPr="007B033F">
              <w:t>Закон України «Про доступ до судових рішень».</w:t>
            </w:r>
          </w:p>
        </w:tc>
      </w:tr>
    </w:tbl>
    <w:p w:rsidR="007B033F" w:rsidRDefault="007B033F"/>
    <w:sectPr w:rsidR="007B033F" w:rsidSect="00F97FC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E3" w:rsidRDefault="00E01AE3" w:rsidP="00440C68">
      <w:r>
        <w:separator/>
      </w:r>
    </w:p>
  </w:endnote>
  <w:endnote w:type="continuationSeparator" w:id="0">
    <w:p w:rsidR="00E01AE3" w:rsidRDefault="00E01AE3" w:rsidP="004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E3" w:rsidRDefault="00E01AE3" w:rsidP="00440C68">
      <w:r>
        <w:separator/>
      </w:r>
    </w:p>
  </w:footnote>
  <w:footnote w:type="continuationSeparator" w:id="0">
    <w:p w:rsidR="00E01AE3" w:rsidRDefault="00E01AE3" w:rsidP="0044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14073"/>
      <w:docPartObj>
        <w:docPartGallery w:val="Page Numbers (Top of Page)"/>
        <w:docPartUnique/>
      </w:docPartObj>
    </w:sdtPr>
    <w:sdtEndPr/>
    <w:sdtContent>
      <w:p w:rsidR="00440C68" w:rsidRDefault="00440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5B" w:rsidRPr="0046645B">
          <w:rPr>
            <w:noProof/>
            <w:lang w:val="ru-RU"/>
          </w:rPr>
          <w:t>2</w:t>
        </w:r>
        <w:r>
          <w:fldChar w:fldCharType="end"/>
        </w:r>
      </w:p>
    </w:sdtContent>
  </w:sdt>
  <w:p w:rsidR="00440C68" w:rsidRDefault="00440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06E"/>
    <w:multiLevelType w:val="hybridMultilevel"/>
    <w:tmpl w:val="5AD629D4"/>
    <w:lvl w:ilvl="0" w:tplc="8A3228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47A63"/>
    <w:rsid w:val="0007447E"/>
    <w:rsid w:val="000B1412"/>
    <w:rsid w:val="000B19EC"/>
    <w:rsid w:val="000D5EC3"/>
    <w:rsid w:val="001F4BC4"/>
    <w:rsid w:val="00212510"/>
    <w:rsid w:val="00270195"/>
    <w:rsid w:val="00270C31"/>
    <w:rsid w:val="002C7780"/>
    <w:rsid w:val="002D7795"/>
    <w:rsid w:val="002F7A91"/>
    <w:rsid w:val="003309E3"/>
    <w:rsid w:val="00370F2D"/>
    <w:rsid w:val="003B3F2A"/>
    <w:rsid w:val="003C165F"/>
    <w:rsid w:val="00440C68"/>
    <w:rsid w:val="0046645B"/>
    <w:rsid w:val="004E35A0"/>
    <w:rsid w:val="00537971"/>
    <w:rsid w:val="005A6D95"/>
    <w:rsid w:val="006133A6"/>
    <w:rsid w:val="00625AEC"/>
    <w:rsid w:val="00662228"/>
    <w:rsid w:val="006A0C5A"/>
    <w:rsid w:val="0071684C"/>
    <w:rsid w:val="00786F1C"/>
    <w:rsid w:val="007B033F"/>
    <w:rsid w:val="0080300F"/>
    <w:rsid w:val="00827866"/>
    <w:rsid w:val="00836C33"/>
    <w:rsid w:val="008A48B9"/>
    <w:rsid w:val="008C1418"/>
    <w:rsid w:val="008F7C02"/>
    <w:rsid w:val="00943F2F"/>
    <w:rsid w:val="00944F5D"/>
    <w:rsid w:val="00952871"/>
    <w:rsid w:val="00961C48"/>
    <w:rsid w:val="009E5982"/>
    <w:rsid w:val="009F0DF7"/>
    <w:rsid w:val="00A0133F"/>
    <w:rsid w:val="00A05447"/>
    <w:rsid w:val="00A40796"/>
    <w:rsid w:val="00A97D44"/>
    <w:rsid w:val="00C1034E"/>
    <w:rsid w:val="00C54D35"/>
    <w:rsid w:val="00C7521A"/>
    <w:rsid w:val="00CA5297"/>
    <w:rsid w:val="00CF0C48"/>
    <w:rsid w:val="00D119DD"/>
    <w:rsid w:val="00D23D5C"/>
    <w:rsid w:val="00D93468"/>
    <w:rsid w:val="00DD2F74"/>
    <w:rsid w:val="00DE0898"/>
    <w:rsid w:val="00DF4A0B"/>
    <w:rsid w:val="00E01AE3"/>
    <w:rsid w:val="00E16BF6"/>
    <w:rsid w:val="00E27422"/>
    <w:rsid w:val="00E32EAD"/>
    <w:rsid w:val="00E75CD6"/>
    <w:rsid w:val="00EA79EB"/>
    <w:rsid w:val="00EB0D48"/>
    <w:rsid w:val="00EB27C6"/>
    <w:rsid w:val="00EB2E0D"/>
    <w:rsid w:val="00F0293A"/>
    <w:rsid w:val="00F05CDE"/>
    <w:rsid w:val="00F35AC3"/>
    <w:rsid w:val="00F602B1"/>
    <w:rsid w:val="00F76721"/>
    <w:rsid w:val="00F801E9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</dc:creator>
  <cp:lastModifiedBy>5114</cp:lastModifiedBy>
  <cp:revision>4</cp:revision>
  <cp:lastPrinted>2017-11-09T15:20:00Z</cp:lastPrinted>
  <dcterms:created xsi:type="dcterms:W3CDTF">2017-12-06T11:13:00Z</dcterms:created>
  <dcterms:modified xsi:type="dcterms:W3CDTF">2017-12-06T11:37:00Z</dcterms:modified>
</cp:coreProperties>
</file>